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сельское поселение»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pacing w:val="40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A000000">
      <w:pPr>
        <w:rPr>
          <w:b w:val="1"/>
          <w:spacing w:val="40"/>
          <w:sz w:val="42"/>
        </w:rPr>
      </w:pPr>
    </w:p>
    <w:p w14:paraId="0B000000">
      <w:pPr>
        <w:spacing w:line="360" w:lineRule="auto"/>
        <w:ind/>
        <w:jc w:val="center"/>
        <w:rPr>
          <w:b w:val="1"/>
          <w:spacing w:val="50"/>
          <w:sz w:val="26"/>
        </w:rPr>
      </w:pPr>
      <w:r>
        <w:rPr>
          <w:b w:val="1"/>
          <w:spacing w:val="50"/>
          <w:sz w:val="26"/>
        </w:rPr>
        <w:t xml:space="preserve"> ПОСТАНОВЛЕНИЕ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10.0</w:t>
      </w:r>
      <w:r>
        <w:rPr>
          <w:sz w:val="28"/>
        </w:rPr>
        <w:t>3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                                 </w:t>
      </w:r>
      <w:r>
        <w:rPr>
          <w:sz w:val="28"/>
        </w:rPr>
        <w:tab/>
      </w:r>
      <w:r>
        <w:rPr>
          <w:sz w:val="28"/>
        </w:rPr>
        <w:t>№ 27</w:t>
      </w:r>
      <w:r>
        <w:rPr>
          <w:sz w:val="28"/>
        </w:rPr>
        <w:t xml:space="preserve">                                  </w:t>
      </w:r>
      <w:r>
        <w:rPr>
          <w:sz w:val="28"/>
        </w:rPr>
        <w:t>с.Лопанка</w:t>
      </w:r>
    </w:p>
    <w:p w14:paraId="0E000000">
      <w:pPr>
        <w:spacing w:line="216" w:lineRule="auto"/>
        <w:ind w:firstLine="540" w:left="0"/>
        <w:jc w:val="center"/>
        <w:rPr>
          <w:sz w:val="28"/>
        </w:rPr>
      </w:pPr>
    </w:p>
    <w:p w14:paraId="0F000000">
      <w:pPr>
        <w:tabs>
          <w:tab w:leader="none" w:pos="9923" w:val="left"/>
        </w:tabs>
        <w:spacing w:line="216" w:lineRule="auto"/>
        <w:ind/>
        <w:rPr>
          <w:sz w:val="28"/>
        </w:rPr>
      </w:pPr>
      <w:r>
        <w:rPr>
          <w:sz w:val="28"/>
        </w:rPr>
        <w:t>Об утверждении отчета</w:t>
      </w:r>
    </w:p>
    <w:p w14:paraId="10000000">
      <w:pPr>
        <w:tabs>
          <w:tab w:leader="none" w:pos="9360" w:val="left"/>
        </w:tabs>
        <w:spacing w:line="216" w:lineRule="auto"/>
        <w:ind/>
        <w:rPr>
          <w:sz w:val="28"/>
        </w:rPr>
      </w:pPr>
      <w:r>
        <w:rPr>
          <w:sz w:val="28"/>
        </w:rPr>
        <w:t>о реализации муниципальной программы</w:t>
      </w:r>
    </w:p>
    <w:p w14:paraId="11000000">
      <w:pPr>
        <w:tabs>
          <w:tab w:leader="none" w:pos="9360" w:val="left"/>
        </w:tabs>
        <w:spacing w:line="216" w:lineRule="auto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12000000">
      <w:pPr>
        <w:rPr>
          <w:sz w:val="28"/>
        </w:rPr>
      </w:pPr>
      <w:r>
        <w:rPr>
          <w:sz w:val="28"/>
        </w:rPr>
        <w:t>«Энергоэффективность и развитие энергетики</w:t>
      </w:r>
      <w:r>
        <w:rPr>
          <w:sz w:val="28"/>
        </w:rPr>
        <w:t>»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за </w:t>
      </w:r>
      <w:r>
        <w:rPr>
          <w:sz w:val="28"/>
        </w:rPr>
        <w:t>2021</w:t>
      </w:r>
      <w:r>
        <w:rPr>
          <w:sz w:val="28"/>
        </w:rPr>
        <w:t xml:space="preserve"> год </w:t>
      </w:r>
    </w:p>
    <w:p w14:paraId="14000000">
      <w:pPr>
        <w:tabs>
          <w:tab w:leader="none" w:pos="9360" w:val="left"/>
        </w:tabs>
        <w:spacing w:line="216" w:lineRule="auto"/>
        <w:ind/>
        <w:rPr>
          <w:sz w:val="28"/>
        </w:rPr>
      </w:pPr>
    </w:p>
    <w:p w14:paraId="15000000">
      <w:pPr>
        <w:ind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"https://login.consultant.ru/link/?req=doc&amp;base=RLBR186&amp;n=88833&amp;date=12.05.2019"</w:instrText>
      </w:r>
      <w:r>
        <w:rPr>
          <w:sz w:val="28"/>
        </w:rPr>
        <w:fldChar w:fldCharType="separate"/>
      </w:r>
      <w:r>
        <w:rPr>
          <w:sz w:val="28"/>
        </w:rPr>
        <w:t>постановлением</w:t>
      </w:r>
      <w:r>
        <w:rPr>
          <w:sz w:val="28"/>
        </w:rPr>
        <w:fldChar w:fldCharType="end"/>
      </w:r>
      <w:r>
        <w:rPr>
          <w:sz w:val="28"/>
        </w:rPr>
        <w:t xml:space="preserve">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реализации и оценки эффективности муниципальных программ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" и пунктом 4 приложения к распоряжению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16000000">
      <w:pPr>
        <w:ind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методических рекомендаций по разработке и реализации муниципальных программ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 </w:t>
      </w:r>
      <w:r>
        <w:rPr>
          <w:sz w:val="28"/>
        </w:rPr>
        <w:t xml:space="preserve">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7000000">
      <w:pPr>
        <w:tabs>
          <w:tab w:leader="none" w:pos="9360" w:val="left"/>
        </w:tabs>
        <w:spacing w:line="216" w:lineRule="auto"/>
        <w:ind/>
        <w:rPr>
          <w:sz w:val="28"/>
        </w:rPr>
      </w:pPr>
    </w:p>
    <w:p w14:paraId="18000000">
      <w:pPr>
        <w:spacing w:line="216" w:lineRule="auto"/>
        <w:ind w:firstLine="709" w:left="0"/>
        <w:jc w:val="both"/>
        <w:rPr>
          <w:b w:val="1"/>
          <w:sz w:val="28"/>
        </w:rPr>
      </w:pPr>
      <w:r>
        <w:rPr>
          <w:rFonts w:ascii="Times New Roman ??????????" w:hAnsi="Times New Roman ??????????"/>
          <w:b w:val="1"/>
          <w:spacing w:val="70"/>
          <w:sz w:val="28"/>
        </w:rPr>
        <w:t>постановляе</w:t>
      </w:r>
      <w:r>
        <w:rPr>
          <w:b w:val="1"/>
          <w:sz w:val="28"/>
        </w:rPr>
        <w:t xml:space="preserve">т: </w:t>
      </w:r>
    </w:p>
    <w:p w14:paraId="19000000">
      <w:pPr>
        <w:spacing w:line="216" w:lineRule="auto"/>
        <w:ind w:firstLine="709" w:left="0"/>
        <w:jc w:val="both"/>
        <w:rPr>
          <w:sz w:val="28"/>
        </w:rPr>
      </w:pPr>
    </w:p>
    <w:p w14:paraId="1A000000">
      <w:pPr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за </w:t>
      </w:r>
      <w:r>
        <w:rPr>
          <w:sz w:val="28"/>
        </w:rPr>
        <w:t>2021</w:t>
      </w:r>
      <w:r>
        <w:rPr>
          <w:sz w:val="28"/>
        </w:rPr>
        <w:t xml:space="preserve"> год, утвержденной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03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1</w:t>
      </w:r>
      <w:r>
        <w:rPr>
          <w:sz w:val="28"/>
        </w:rPr>
        <w:t>71</w:t>
      </w:r>
      <w:r>
        <w:rPr>
          <w:sz w:val="28"/>
        </w:rPr>
        <w:t>, согласно приложению.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C000000">
      <w:pPr>
        <w:spacing w:line="216" w:lineRule="auto"/>
        <w:ind/>
        <w:jc w:val="both"/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 w14:paraId="1D000000">
      <w:pPr>
        <w:spacing w:line="216" w:lineRule="auto"/>
        <w:ind w:firstLine="709" w:left="0"/>
        <w:jc w:val="both"/>
        <w:rPr>
          <w:sz w:val="28"/>
        </w:rPr>
      </w:pPr>
    </w:p>
    <w:p w14:paraId="1E000000">
      <w:pPr>
        <w:spacing w:line="216" w:lineRule="auto"/>
        <w:ind/>
        <w:jc w:val="both"/>
        <w:rPr>
          <w:sz w:val="28"/>
        </w:rPr>
      </w:pPr>
    </w:p>
    <w:p w14:paraId="1F000000">
      <w:pPr>
        <w:spacing w:line="216" w:lineRule="auto"/>
        <w:ind/>
        <w:rPr>
          <w:sz w:val="28"/>
        </w:rPr>
      </w:pPr>
      <w:r>
        <w:rPr>
          <w:sz w:val="28"/>
        </w:rPr>
        <w:t xml:space="preserve">       Глава Администрации</w:t>
      </w:r>
    </w:p>
    <w:p w14:paraId="20000000">
      <w:pPr>
        <w:spacing w:line="216" w:lineRule="auto"/>
        <w:ind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</w:t>
      </w:r>
      <w:r>
        <w:rPr>
          <w:sz w:val="28"/>
        </w:rPr>
        <w:t>М.В.Качарова</w:t>
      </w:r>
    </w:p>
    <w:p w14:paraId="21000000">
      <w:pPr>
        <w:spacing w:line="216" w:lineRule="auto"/>
        <w:ind/>
        <w:rPr>
          <w:sz w:val="28"/>
        </w:rPr>
      </w:pPr>
    </w:p>
    <w:p w14:paraId="22000000">
      <w:pPr>
        <w:spacing w:line="216" w:lineRule="auto"/>
        <w:ind/>
      </w:pPr>
      <w:r>
        <w:t xml:space="preserve">Постановление вносит </w:t>
      </w:r>
    </w:p>
    <w:p w14:paraId="23000000">
      <w:pPr>
        <w:spacing w:line="216" w:lineRule="auto"/>
        <w:ind/>
      </w:pPr>
      <w:r>
        <w:t>главный специалист по ЖКХ</w:t>
      </w:r>
    </w:p>
    <w:p w14:paraId="24000000">
      <w:pPr>
        <w:spacing w:line="216" w:lineRule="auto"/>
        <w:ind/>
      </w:pPr>
      <w:r>
        <w:t>М.А.Гимбатов</w:t>
      </w:r>
    </w:p>
    <w:p w14:paraId="25000000">
      <w:pPr>
        <w:pageBreakBefore w:val="1"/>
        <w:spacing w:line="228" w:lineRule="auto"/>
        <w:ind w:firstLine="0" w:left="6237"/>
        <w:jc w:val="center"/>
        <w:rPr>
          <w:sz w:val="28"/>
        </w:rPr>
      </w:pPr>
    </w:p>
    <w:p w14:paraId="26000000">
      <w:pPr>
        <w:pageBreakBefore w:val="1"/>
        <w:spacing w:line="228" w:lineRule="auto"/>
        <w:ind w:firstLine="0" w:left="6237"/>
        <w:jc w:val="center"/>
        <w:rPr>
          <w:sz w:val="28"/>
        </w:rPr>
      </w:pPr>
    </w:p>
    <w:p w14:paraId="27000000">
      <w:pPr>
        <w:pageBreakBefore w:val="1"/>
        <w:spacing w:line="228" w:lineRule="auto"/>
        <w:ind w:firstLine="0" w:left="6237"/>
        <w:jc w:val="center"/>
        <w:rPr>
          <w:sz w:val="28"/>
        </w:rPr>
      </w:pPr>
    </w:p>
    <w:p w14:paraId="28000000">
      <w:pPr>
        <w:pageBreakBefore w:val="1"/>
        <w:spacing w:line="228" w:lineRule="auto"/>
        <w:ind w:firstLine="0" w:left="6237"/>
        <w:jc w:val="center"/>
        <w:rPr>
          <w:sz w:val="28"/>
        </w:rPr>
      </w:pPr>
    </w:p>
    <w:p w14:paraId="29000000">
      <w:pPr>
        <w:pageBreakBefore w:val="1"/>
        <w:spacing w:line="228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A000000">
      <w:pPr>
        <w:spacing w:line="228" w:lineRule="auto"/>
        <w:ind w:firstLine="0" w:left="6237"/>
        <w:contextualSpacing w:val="1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B000000">
      <w:pPr>
        <w:spacing w:line="228" w:lineRule="auto"/>
        <w:ind w:firstLine="0" w:left="6237"/>
        <w:contextualSpacing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C000000">
      <w:pPr>
        <w:spacing w:line="228" w:lineRule="auto"/>
        <w:ind w:firstLine="0" w:left="6237"/>
        <w:contextualSpacing w:val="1"/>
        <w:jc w:val="center"/>
        <w:rPr>
          <w:sz w:val="28"/>
        </w:rPr>
      </w:pPr>
      <w:r>
        <w:rPr>
          <w:sz w:val="28"/>
        </w:rPr>
        <w:t>от 10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sz w:val="28"/>
        </w:rPr>
        <w:t>27</w:t>
      </w:r>
    </w:p>
    <w:p w14:paraId="2D000000">
      <w:pPr>
        <w:spacing w:line="228" w:lineRule="auto"/>
        <w:ind/>
        <w:jc w:val="center"/>
        <w:rPr>
          <w:sz w:val="28"/>
        </w:rPr>
      </w:pPr>
    </w:p>
    <w:p w14:paraId="2E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ОТЧЕТ</w:t>
      </w:r>
    </w:p>
    <w:p w14:paraId="2F000000">
      <w:pPr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«Энергоэффективность и развитие энергетики» за </w:t>
      </w:r>
      <w:r>
        <w:rPr>
          <w:sz w:val="28"/>
        </w:rPr>
        <w:t>2021</w:t>
      </w:r>
      <w:r>
        <w:rPr>
          <w:sz w:val="28"/>
        </w:rPr>
        <w:t xml:space="preserve"> год</w:t>
      </w:r>
    </w:p>
    <w:p w14:paraId="30000000">
      <w:pPr>
        <w:spacing w:line="228" w:lineRule="auto"/>
        <w:ind/>
        <w:jc w:val="center"/>
        <w:rPr>
          <w:sz w:val="28"/>
        </w:rPr>
      </w:pPr>
    </w:p>
    <w:p w14:paraId="31000000">
      <w:pPr>
        <w:spacing w:line="228" w:lineRule="auto"/>
        <w:ind/>
        <w:jc w:val="center"/>
        <w:rPr>
          <w:sz w:val="28"/>
        </w:rPr>
      </w:pPr>
    </w:p>
    <w:p w14:paraId="32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1. Конкретные результаты, достигнутые в </w:t>
      </w:r>
      <w:r>
        <w:rPr>
          <w:sz w:val="28"/>
        </w:rPr>
        <w:t>2021</w:t>
      </w:r>
      <w:r>
        <w:rPr>
          <w:sz w:val="28"/>
        </w:rPr>
        <w:t xml:space="preserve"> году</w:t>
      </w:r>
    </w:p>
    <w:p w14:paraId="33000000">
      <w:pPr>
        <w:spacing w:line="228" w:lineRule="auto"/>
        <w:ind/>
        <w:jc w:val="center"/>
        <w:rPr>
          <w:sz w:val="28"/>
        </w:rPr>
      </w:pPr>
    </w:p>
    <w:p w14:paraId="34000000">
      <w:pPr>
        <w:rPr>
          <w:sz w:val="28"/>
        </w:rPr>
      </w:pPr>
      <w:r>
        <w:rPr>
          <w:sz w:val="28"/>
        </w:rPr>
        <w:t xml:space="preserve">На реализацию муниципальной программы «Энергоэффективность и развитие энергетики» (далее – муниципальная программа) в </w:t>
      </w:r>
      <w:r>
        <w:rPr>
          <w:sz w:val="28"/>
        </w:rPr>
        <w:t>2021</w:t>
      </w:r>
      <w:r>
        <w:rPr>
          <w:sz w:val="28"/>
        </w:rPr>
        <w:t xml:space="preserve">году было предусмотрено </w:t>
      </w:r>
      <w:r>
        <w:rPr>
          <w:sz w:val="28"/>
        </w:rPr>
        <w:t>377,1</w:t>
      </w:r>
      <w:r>
        <w:rPr>
          <w:sz w:val="28"/>
        </w:rPr>
        <w:t xml:space="preserve"> тыс. рублей, в том числе за счет средств:</w:t>
      </w:r>
    </w:p>
    <w:p w14:paraId="35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местного бюджета – 377,1</w:t>
      </w:r>
      <w:r>
        <w:rPr>
          <w:sz w:val="28"/>
        </w:rPr>
        <w:t xml:space="preserve"> </w:t>
      </w:r>
      <w:r>
        <w:rPr>
          <w:sz w:val="28"/>
        </w:rPr>
        <w:t>тыс. рублей.</w:t>
      </w:r>
    </w:p>
    <w:p w14:paraId="36000000">
      <w:pPr>
        <w:spacing w:line="228" w:lineRule="auto"/>
        <w:ind w:firstLine="709" w:left="0"/>
        <w:jc w:val="both"/>
        <w:rPr>
          <w:sz w:val="28"/>
        </w:rPr>
      </w:pPr>
    </w:p>
    <w:p w14:paraId="37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Средства были направлены на цели, предусмотренные программными мероприятиями.</w:t>
      </w:r>
    </w:p>
    <w:p w14:paraId="3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2021</w:t>
      </w:r>
      <w:r>
        <w:rPr>
          <w:sz w:val="28"/>
        </w:rPr>
        <w:t xml:space="preserve"> году:</w:t>
      </w:r>
    </w:p>
    <w:p w14:paraId="39000000">
      <w:pPr>
        <w:rPr>
          <w:sz w:val="28"/>
        </w:rPr>
      </w:pPr>
      <w:bookmarkStart w:id="1" w:name="OLE_LINK9"/>
      <w:r>
        <w:rPr>
          <w:sz w:val="28"/>
        </w:rPr>
        <w:t xml:space="preserve">в </w:t>
      </w:r>
      <w:r>
        <w:rPr>
          <w:sz w:val="28"/>
        </w:rPr>
        <w:t>рамках  подпрограммы</w:t>
      </w:r>
      <w:r>
        <w:rPr>
          <w:sz w:val="28"/>
        </w:rPr>
        <w:t xml:space="preserve"> «</w:t>
      </w:r>
      <w:bookmarkStart w:id="2" w:name="OLE_LINK12"/>
      <w:r>
        <w:rPr>
          <w:sz w:val="28"/>
        </w:rPr>
        <w:t>Энергосбережение и повышение энергетической эффективности в муниципальных учреждения</w:t>
      </w:r>
      <w:bookmarkEnd w:id="2"/>
      <w:r>
        <w:rPr>
          <w:sz w:val="28"/>
        </w:rPr>
        <w:t xml:space="preserve">» расходы составили </w:t>
      </w:r>
      <w:r>
        <w:rPr>
          <w:sz w:val="28"/>
        </w:rPr>
        <w:t>377,1</w:t>
      </w:r>
      <w:r>
        <w:rPr>
          <w:sz w:val="28"/>
        </w:rPr>
        <w:t>тыс.рублей</w:t>
      </w:r>
      <w:r>
        <w:rPr>
          <w:sz w:val="28"/>
        </w:rPr>
        <w:t>: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на мероприятия по замене ламп накаливания и других неэффективных элементов систем освещения, в том числе светильников, на энергосберегающие направлено</w:t>
      </w:r>
      <w:r>
        <w:rPr>
          <w:sz w:val="28"/>
        </w:rPr>
        <w:t xml:space="preserve"> 4,0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>;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>в рамках</w:t>
      </w:r>
      <w:r>
        <w:rPr>
          <w:sz w:val="28"/>
        </w:rPr>
        <w:t xml:space="preserve"> </w:t>
      </w:r>
      <w:r>
        <w:rPr>
          <w:sz w:val="28"/>
        </w:rPr>
        <w:t>подпрограммы «</w:t>
      </w:r>
      <w:bookmarkStart w:id="3" w:name="OLE_LINK14"/>
      <w:bookmarkStart w:id="4" w:name="OLE_LINK16"/>
      <w:r>
        <w:rPr>
          <w:sz w:val="28"/>
        </w:rPr>
        <w:t>Развитие и модернизация электрических сетей, включая сети уличного освещения</w:t>
      </w:r>
      <w:bookmarkEnd w:id="3"/>
      <w:bookmarkEnd w:id="4"/>
      <w:r>
        <w:rPr>
          <w:sz w:val="28"/>
        </w:rPr>
        <w:t>" расходы составили 373,1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рублей:</w:t>
      </w:r>
      <w:bookmarkEnd w:id="1"/>
    </w:p>
    <w:p w14:paraId="3C000000">
      <w:pPr>
        <w:ind/>
        <w:jc w:val="both"/>
        <w:rPr>
          <w:sz w:val="28"/>
        </w:rPr>
      </w:pPr>
      <w:r>
        <w:rPr>
          <w:sz w:val="28"/>
        </w:rPr>
        <w:t>- содержание сетей уличного освещения -93,1 тыс.рублей;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-установка светодиодных светильников на солнечных батареях по ул. Центральн</w:t>
      </w:r>
      <w:r>
        <w:rPr>
          <w:sz w:val="28"/>
        </w:rPr>
        <w:t>ая в с</w:t>
      </w:r>
      <w:r>
        <w:rPr>
          <w:sz w:val="28"/>
        </w:rPr>
        <w:t>т.</w:t>
      </w:r>
      <w:r>
        <w:rPr>
          <w:sz w:val="28"/>
        </w:rPr>
        <w:t>Сладкая Балка-280</w:t>
      </w:r>
      <w:r>
        <w:rPr>
          <w:sz w:val="28"/>
        </w:rPr>
        <w:t> ,0 тыс.</w:t>
      </w:r>
      <w:r>
        <w:rPr>
          <w:sz w:val="28"/>
        </w:rPr>
        <w:t xml:space="preserve"> рубле</w:t>
      </w:r>
      <w:r>
        <w:rPr>
          <w:sz w:val="28"/>
        </w:rPr>
        <w:t>й</w:t>
      </w:r>
      <w:r>
        <w:rPr>
          <w:sz w:val="28"/>
        </w:rPr>
        <w:t>.</w:t>
      </w:r>
    </w:p>
    <w:p w14:paraId="3E000000">
      <w:pPr>
        <w:ind/>
        <w:jc w:val="both"/>
        <w:rPr>
          <w:sz w:val="28"/>
          <w:highlight w:val="yellow"/>
        </w:rPr>
      </w:pPr>
      <w:r>
        <w:rPr>
          <w:sz w:val="28"/>
        </w:rPr>
        <w:t>2.</w:t>
      </w:r>
      <w:r>
        <w:rPr>
          <w:sz w:val="28"/>
        </w:rPr>
        <w:t>Результаты ре</w:t>
      </w:r>
      <w:r>
        <w:rPr>
          <w:sz w:val="28"/>
        </w:rPr>
        <w:t xml:space="preserve">ализации основных </w:t>
      </w:r>
      <w:r>
        <w:rPr>
          <w:sz w:val="28"/>
        </w:rPr>
        <w:br/>
      </w:r>
      <w:r>
        <w:rPr>
          <w:sz w:val="28"/>
        </w:rPr>
        <w:t>мероприятий подпрограмм муниципальной программы</w:t>
      </w:r>
    </w:p>
    <w:p w14:paraId="3F000000">
      <w:pPr>
        <w:spacing w:line="228" w:lineRule="auto"/>
        <w:ind/>
        <w:jc w:val="center"/>
        <w:rPr>
          <w:sz w:val="28"/>
        </w:rPr>
      </w:pPr>
    </w:p>
    <w:p w14:paraId="40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Муниципальная программа включает в себя </w:t>
      </w:r>
      <w:r>
        <w:rPr>
          <w:sz w:val="28"/>
        </w:rPr>
        <w:t>две</w:t>
      </w:r>
      <w:r>
        <w:rPr>
          <w:sz w:val="28"/>
        </w:rPr>
        <w:t xml:space="preserve"> подпрограмм</w:t>
      </w:r>
      <w:r>
        <w:rPr>
          <w:sz w:val="28"/>
        </w:rPr>
        <w:t>ы</w:t>
      </w:r>
      <w:r>
        <w:rPr>
          <w:sz w:val="28"/>
        </w:rPr>
        <w:t>:</w:t>
      </w:r>
    </w:p>
    <w:p w14:paraId="41000000">
      <w:pPr>
        <w:spacing w:line="228" w:lineRule="auto"/>
        <w:ind w:firstLine="709" w:left="0"/>
        <w:jc w:val="both"/>
        <w:rPr>
          <w:sz w:val="28"/>
        </w:rPr>
      </w:pPr>
      <w:bookmarkStart w:id="5" w:name="OLE_LINK15"/>
      <w:r>
        <w:rPr>
          <w:sz w:val="28"/>
        </w:rPr>
        <w:t>Подпрограмма  –</w:t>
      </w:r>
      <w:r>
        <w:rPr>
          <w:sz w:val="28"/>
        </w:rPr>
        <w:t xml:space="preserve"> «</w:t>
      </w:r>
      <w:r>
        <w:rPr>
          <w:sz w:val="28"/>
        </w:rPr>
        <w:t>Энергосбережение и повышение энергетической эффективности в муниципальных учреждения</w:t>
      </w:r>
      <w:r>
        <w:rPr>
          <w:sz w:val="28"/>
        </w:rPr>
        <w:t>» (далее – Подпрограмма);</w:t>
      </w:r>
    </w:p>
    <w:p w14:paraId="42000000">
      <w:pPr>
        <w:spacing w:line="228" w:lineRule="auto"/>
        <w:ind w:firstLine="709" w:left="0"/>
        <w:jc w:val="both"/>
        <w:rPr>
          <w:sz w:val="28"/>
        </w:rPr>
      </w:pPr>
      <w:bookmarkStart w:id="6" w:name="OLE_LINK13"/>
      <w:bookmarkEnd w:id="5"/>
      <w:r>
        <w:rPr>
          <w:sz w:val="28"/>
        </w:rPr>
        <w:t>В рамках реализации Подпрограммы</w:t>
      </w:r>
      <w:r>
        <w:rPr>
          <w:sz w:val="28"/>
        </w:rPr>
        <w:t xml:space="preserve"> 1</w:t>
      </w:r>
      <w:r>
        <w:rPr>
          <w:sz w:val="28"/>
        </w:rPr>
        <w:t xml:space="preserve"> в </w:t>
      </w:r>
      <w:r>
        <w:rPr>
          <w:sz w:val="28"/>
        </w:rPr>
        <w:t>2021</w:t>
      </w:r>
      <w:r>
        <w:rPr>
          <w:sz w:val="28"/>
        </w:rPr>
        <w:t xml:space="preserve"> году выполнены следующие основные мероприятия: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>1.1.</w:t>
      </w:r>
      <w:r>
        <w:rPr>
          <w:sz w:val="28"/>
        </w:rPr>
        <w:t xml:space="preserve"> </w:t>
      </w:r>
    </w:p>
    <w:p w14:paraId="44000000">
      <w:pPr>
        <w:rPr>
          <w:sz w:val="28"/>
        </w:rPr>
      </w:pPr>
      <w:r>
        <w:rPr>
          <w:sz w:val="28"/>
        </w:rPr>
        <w:t>Замена ламп накаливания и других неэффективных элементов систем освещения, в том числе светильников на энергосберегающие – 4,0</w:t>
      </w:r>
      <w:r>
        <w:rPr>
          <w:sz w:val="28"/>
        </w:rPr>
        <w:t xml:space="preserve"> тыс. рублей.</w:t>
      </w:r>
    </w:p>
    <w:p w14:paraId="45000000">
      <w:pPr>
        <w:rPr>
          <w:sz w:val="28"/>
        </w:rPr>
      </w:pPr>
      <w:r>
        <w:rPr>
          <w:sz w:val="28"/>
        </w:rPr>
        <w:t>Подпрограмма  –</w:t>
      </w:r>
      <w:r>
        <w:rPr>
          <w:sz w:val="28"/>
        </w:rPr>
        <w:t xml:space="preserve"> «Развитие и модернизация электрических сетей, включая сети уличного освещения» (далее – Подпрограмма);</w:t>
      </w:r>
    </w:p>
    <w:p w14:paraId="46000000">
      <w:pPr>
        <w:rPr>
          <w:sz w:val="28"/>
        </w:rPr>
      </w:pPr>
      <w:r>
        <w:rPr>
          <w:sz w:val="28"/>
        </w:rPr>
        <w:t xml:space="preserve">В рамках реализации Подпрограммы </w:t>
      </w:r>
      <w:r>
        <w:rPr>
          <w:sz w:val="28"/>
        </w:rPr>
        <w:t>2  в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году выполнены следующие основные мероприятия:</w:t>
      </w:r>
      <w:bookmarkEnd w:id="6"/>
    </w:p>
    <w:p w14:paraId="47000000">
      <w:pPr>
        <w:ind/>
        <w:jc w:val="both"/>
        <w:rPr>
          <w:sz w:val="28"/>
        </w:rPr>
      </w:pPr>
      <w:r>
        <w:rPr>
          <w:sz w:val="28"/>
        </w:rPr>
        <w:t>- содержание сетей уличного освещения -93,1 тыс.рублей;</w:t>
      </w:r>
    </w:p>
    <w:p w14:paraId="48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-установка светодиодных светильников на солнечных батареях по ул. Центральн</w:t>
      </w:r>
      <w:r>
        <w:rPr>
          <w:sz w:val="28"/>
        </w:rPr>
        <w:t>ая в с</w:t>
      </w:r>
      <w:r>
        <w:rPr>
          <w:sz w:val="28"/>
        </w:rPr>
        <w:t>т.</w:t>
      </w:r>
      <w:r>
        <w:rPr>
          <w:sz w:val="28"/>
        </w:rPr>
        <w:t>Сладкая Балка-280</w:t>
      </w:r>
      <w:r>
        <w:rPr>
          <w:sz w:val="28"/>
        </w:rPr>
        <w:t> ,0 тыс.</w:t>
      </w:r>
      <w:r>
        <w:rPr>
          <w:sz w:val="28"/>
        </w:rPr>
        <w:t xml:space="preserve"> рубле</w:t>
      </w:r>
      <w:r>
        <w:rPr>
          <w:sz w:val="28"/>
        </w:rPr>
        <w:t>й</w:t>
      </w:r>
      <w:r>
        <w:rPr>
          <w:sz w:val="28"/>
        </w:rPr>
        <w:t>.</w:t>
      </w:r>
    </w:p>
    <w:p w14:paraId="49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«Энергоэффективность и развитие энергетики» за </w:t>
      </w:r>
      <w:r>
        <w:rPr>
          <w:sz w:val="28"/>
        </w:rPr>
        <w:t>2021</w:t>
      </w:r>
      <w:r>
        <w:rPr>
          <w:sz w:val="28"/>
        </w:rPr>
        <w:t xml:space="preserve"> год приведены в приложении 1.</w:t>
      </w:r>
    </w:p>
    <w:p w14:paraId="4A000000">
      <w:pPr>
        <w:spacing w:line="228" w:lineRule="auto"/>
        <w:ind/>
        <w:jc w:val="both"/>
        <w:rPr>
          <w:color w:val="FF0000"/>
          <w:sz w:val="28"/>
        </w:rPr>
      </w:pPr>
    </w:p>
    <w:p w14:paraId="4B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3. Анализ факторов, повлиявших </w:t>
      </w:r>
      <w:r>
        <w:rPr>
          <w:sz w:val="28"/>
        </w:rPr>
        <w:br/>
      </w:r>
      <w:r>
        <w:rPr>
          <w:sz w:val="28"/>
        </w:rPr>
        <w:t>на ход реализации муниципальной программы</w:t>
      </w:r>
    </w:p>
    <w:p w14:paraId="4C000000">
      <w:pPr>
        <w:spacing w:line="228" w:lineRule="auto"/>
        <w:ind/>
        <w:jc w:val="center"/>
        <w:rPr>
          <w:sz w:val="28"/>
        </w:rPr>
      </w:pPr>
    </w:p>
    <w:p w14:paraId="4D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Запланированные денежные </w:t>
      </w:r>
      <w:r>
        <w:rPr>
          <w:sz w:val="28"/>
        </w:rPr>
        <w:t>средства  на</w:t>
      </w:r>
      <w:r>
        <w:rPr>
          <w:sz w:val="28"/>
        </w:rPr>
        <w:t xml:space="preserve"> мероприятия программы реализованы в полном объеме.</w:t>
      </w:r>
    </w:p>
    <w:p w14:paraId="4E000000">
      <w:pPr>
        <w:spacing w:line="228" w:lineRule="auto"/>
        <w:ind w:firstLine="709" w:left="0"/>
        <w:jc w:val="both"/>
        <w:rPr>
          <w:sz w:val="28"/>
        </w:rPr>
      </w:pPr>
    </w:p>
    <w:p w14:paraId="4F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4. Сведения об использовании бюджетных ассигнований </w:t>
      </w:r>
      <w:r>
        <w:rPr>
          <w:sz w:val="28"/>
        </w:rPr>
        <w:br/>
      </w:r>
      <w:r>
        <w:rPr>
          <w:sz w:val="28"/>
        </w:rPr>
        <w:t>и внебюджетных средств на реализацию муниципальной программы</w:t>
      </w:r>
    </w:p>
    <w:p w14:paraId="50000000">
      <w:pPr>
        <w:spacing w:line="228" w:lineRule="auto"/>
        <w:ind/>
        <w:jc w:val="center"/>
        <w:rPr>
          <w:sz w:val="28"/>
        </w:rPr>
      </w:pPr>
    </w:p>
    <w:p w14:paraId="51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 реализацию мероприятий </w:t>
      </w:r>
      <w:r>
        <w:rPr>
          <w:sz w:val="28"/>
        </w:rPr>
        <w:t>Подпрограмм  на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 было предусмотрено 3</w:t>
      </w:r>
      <w:r>
        <w:rPr>
          <w:sz w:val="28"/>
        </w:rPr>
        <w:t>77,1</w:t>
      </w:r>
      <w:r>
        <w:rPr>
          <w:sz w:val="28"/>
        </w:rPr>
        <w:t xml:space="preserve"> тыс. рублей, в том числе за счет средств:</w:t>
      </w:r>
    </w:p>
    <w:p w14:paraId="52000000">
      <w:pPr>
        <w:spacing w:line="228" w:lineRule="auto"/>
        <w:ind w:firstLine="709" w:left="0"/>
        <w:jc w:val="both"/>
        <w:rPr>
          <w:sz w:val="28"/>
        </w:rPr>
      </w:pPr>
    </w:p>
    <w:p w14:paraId="53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местного бюджета – 3</w:t>
      </w:r>
      <w:r>
        <w:rPr>
          <w:sz w:val="28"/>
        </w:rPr>
        <w:t>77,1</w:t>
      </w:r>
      <w:r>
        <w:rPr>
          <w:sz w:val="28"/>
        </w:rPr>
        <w:t xml:space="preserve"> тыс. рублей.</w:t>
      </w:r>
    </w:p>
    <w:p w14:paraId="54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Освоено в рамках реализации </w:t>
      </w:r>
      <w:r>
        <w:rPr>
          <w:sz w:val="28"/>
        </w:rPr>
        <w:t>Подпрограмм  –</w:t>
      </w:r>
      <w:r>
        <w:rPr>
          <w:sz w:val="28"/>
        </w:rPr>
        <w:t xml:space="preserve"> 377,1</w:t>
      </w:r>
      <w:r>
        <w:rPr>
          <w:sz w:val="28"/>
        </w:rPr>
        <w:t xml:space="preserve"> тыс. рублей, в том числе за  средств:</w:t>
      </w:r>
    </w:p>
    <w:p w14:paraId="55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местного бюджета –377,1</w:t>
      </w:r>
      <w:r>
        <w:rPr>
          <w:sz w:val="28"/>
        </w:rPr>
        <w:t xml:space="preserve"> тыс. рублей.</w:t>
      </w:r>
    </w:p>
    <w:p w14:paraId="56000000">
      <w:pPr>
        <w:widowControl w:val="0"/>
        <w:ind/>
        <w:rPr>
          <w:sz w:val="28"/>
        </w:rPr>
      </w:pPr>
      <w:r>
        <w:rPr>
          <w:sz w:val="28"/>
        </w:rPr>
        <w:t>Сведения  об</w:t>
      </w:r>
      <w:r>
        <w:rPr>
          <w:sz w:val="28"/>
        </w:rPr>
        <w:t xml:space="preserve"> использовании бюджетных ассигнований и внебюджетных средств </w:t>
      </w:r>
    </w:p>
    <w:p w14:paraId="57000000">
      <w:pPr>
        <w:ind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r>
        <w:rPr>
          <w:sz w:val="28"/>
        </w:rPr>
        <w:t xml:space="preserve">за  </w:t>
      </w:r>
      <w:r>
        <w:rPr>
          <w:sz w:val="28"/>
        </w:rPr>
        <w:t>2021</w:t>
      </w:r>
      <w:r>
        <w:rPr>
          <w:sz w:val="28"/>
        </w:rPr>
        <w:t xml:space="preserve"> г.</w:t>
      </w:r>
      <w:r>
        <w:rPr>
          <w:sz w:val="28"/>
        </w:rPr>
        <w:t xml:space="preserve"> приведены в приложении 2.</w:t>
      </w:r>
    </w:p>
    <w:p w14:paraId="58000000">
      <w:pPr>
        <w:widowControl w:val="0"/>
        <w:ind/>
        <w:rPr>
          <w:sz w:val="28"/>
        </w:rPr>
      </w:pPr>
    </w:p>
    <w:p w14:paraId="59000000">
      <w:pPr>
        <w:rPr>
          <w:sz w:val="28"/>
        </w:rPr>
      </w:pPr>
      <w:r>
        <w:rPr>
          <w:sz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sz w:val="28"/>
        </w:rPr>
        <w:t>2021</w:t>
      </w:r>
      <w:r>
        <w:rPr>
          <w:sz w:val="28"/>
        </w:rPr>
        <w:t xml:space="preserve"> год.</w:t>
      </w:r>
    </w:p>
    <w:p w14:paraId="5A000000">
      <w:pPr>
        <w:spacing w:line="228" w:lineRule="auto"/>
        <w:ind/>
        <w:jc w:val="center"/>
        <w:rPr>
          <w:sz w:val="28"/>
        </w:rPr>
      </w:pPr>
    </w:p>
    <w:p w14:paraId="5B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реализации муниципальной программы и подпрограмм предусмотрено достижение 9 показателей.</w:t>
      </w:r>
    </w:p>
    <w:p w14:paraId="5C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итогам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года достигнуты следующие показатели:</w:t>
      </w:r>
    </w:p>
    <w:p w14:paraId="5D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</w:rPr>
        <w:t xml:space="preserve"> </w:t>
      </w:r>
      <w:bookmarkStart w:id="7" w:name="OLE_LINK179"/>
      <w:r>
        <w:rPr>
          <w:color w:val="000000"/>
          <w:sz w:val="28"/>
        </w:rPr>
        <w:t>Доля фактически освещенных улиц в общей протяженности улиц населенных пунктов муниципального образования «</w:t>
      </w:r>
      <w:r>
        <w:rPr>
          <w:color w:val="000000"/>
          <w:sz w:val="28"/>
        </w:rPr>
        <w:t>Лопанское</w:t>
      </w:r>
      <w:r>
        <w:rPr>
          <w:color w:val="000000"/>
          <w:sz w:val="28"/>
        </w:rPr>
        <w:t xml:space="preserve"> сельское поселение»;</w:t>
      </w:r>
    </w:p>
    <w:p w14:paraId="5E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Уровень газификации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</w:t>
      </w:r>
      <w:r>
        <w:rPr>
          <w:color w:val="000000"/>
          <w:sz w:val="28"/>
        </w:rPr>
        <w:t>поеления</w:t>
      </w:r>
      <w:r>
        <w:rPr>
          <w:color w:val="000000"/>
          <w:sz w:val="28"/>
        </w:rPr>
        <w:t>;</w:t>
      </w:r>
    </w:p>
    <w:p w14:paraId="5F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Количество согласованных отчетов об исполнении плана реализации муниципальной программы.</w:t>
      </w:r>
      <w:bookmarkEnd w:id="7"/>
    </w:p>
    <w:p w14:paraId="60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реализации Подпрограммы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 муниципальной</w:t>
      </w:r>
      <w:r>
        <w:rPr>
          <w:color w:val="000000"/>
          <w:sz w:val="28"/>
        </w:rPr>
        <w:t xml:space="preserve"> программы предусмотрено достижение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показателей.</w:t>
      </w:r>
    </w:p>
    <w:p w14:paraId="61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bookmarkStart w:id="8" w:name="OLE_LINK183"/>
      <w:r>
        <w:rPr>
          <w:color w:val="000000"/>
          <w:sz w:val="28"/>
        </w:rPr>
        <w:t xml:space="preserve">Доля объема электрической энергии (далее – ЭЭ), 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территории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</w:t>
      </w:r>
      <w:r>
        <w:rPr>
          <w:color w:val="000000"/>
          <w:sz w:val="28"/>
        </w:rPr>
        <w:t>поеления</w:t>
      </w:r>
      <w:r>
        <w:rPr>
          <w:color w:val="000000"/>
          <w:sz w:val="28"/>
        </w:rPr>
        <w:t>;</w:t>
      </w:r>
    </w:p>
    <w:p w14:paraId="62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-Доля объема горячей воды, потребляемой БУ, расчеты за потребление которой осуществляются на основании показаний приборов учета, в общем объеме горячей воды, потребляемой БУ на территории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</w:t>
      </w:r>
      <w:r>
        <w:rPr>
          <w:color w:val="000000"/>
          <w:sz w:val="28"/>
        </w:rPr>
        <w:t>поеления</w:t>
      </w:r>
      <w:r>
        <w:rPr>
          <w:color w:val="000000"/>
          <w:sz w:val="28"/>
        </w:rPr>
        <w:t>;</w:t>
      </w:r>
    </w:p>
    <w:p w14:paraId="63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-Доля объема природного газа, потребляемого БУ, расчеты за потребление которого осуществляются на основании показаний приборов учета, в общем объеме природного газа, потребляемого БУ на территории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</w:t>
      </w:r>
      <w:r>
        <w:rPr>
          <w:color w:val="000000"/>
          <w:sz w:val="28"/>
        </w:rPr>
        <w:t>поеления</w:t>
      </w:r>
      <w:r>
        <w:rPr>
          <w:color w:val="000000"/>
          <w:sz w:val="28"/>
        </w:rPr>
        <w:t>;</w:t>
      </w:r>
    </w:p>
    <w:p w14:paraId="64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Объем ЭЭ, потребленный БУ, расчеты за потребление которой осуществляются на основании показаний приборов учета;</w:t>
      </w:r>
    </w:p>
    <w:p w14:paraId="65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Объем природного газа, потребленный БУ, расчеты за потребление которого осуществляются на основании показаний приборов учета</w:t>
      </w:r>
      <w:r>
        <w:rPr>
          <w:color w:val="000000"/>
          <w:sz w:val="28"/>
        </w:rPr>
        <w:t>.</w:t>
      </w:r>
      <w:bookmarkEnd w:id="8"/>
    </w:p>
    <w:p w14:paraId="66000000">
      <w:pPr>
        <w:spacing w:line="228" w:lineRule="auto"/>
        <w:ind/>
        <w:jc w:val="both"/>
        <w:rPr>
          <w:color w:val="000000"/>
          <w:sz w:val="28"/>
        </w:rPr>
      </w:pPr>
    </w:p>
    <w:p w14:paraId="67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итогам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года </w:t>
      </w:r>
      <w:r>
        <w:rPr>
          <w:color w:val="000000"/>
          <w:sz w:val="28"/>
        </w:rPr>
        <w:t>показатели  не достигнут 1 показатель:</w:t>
      </w:r>
    </w:p>
    <w:p w14:paraId="68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69000000">
      <w:pPr>
        <w:spacing w:line="228" w:lineRule="auto"/>
        <w:ind w:firstLine="709" w:left="0"/>
        <w:jc w:val="both"/>
        <w:rPr>
          <w:color w:val="FB290D"/>
          <w:sz w:val="28"/>
        </w:rPr>
      </w:pPr>
      <w:r>
        <w:rPr>
          <w:sz w:val="28"/>
        </w:rPr>
        <w:t>-количество разработанной проектно-сметной документации на реконструкцию и капитальный ремонт объектов электрических сетей(не исполнение показателя связано с отсутствием необходимости).</w:t>
      </w:r>
    </w:p>
    <w:p w14:paraId="6A000000">
      <w:pPr>
        <w:spacing w:line="228" w:lineRule="auto"/>
        <w:ind/>
        <w:jc w:val="both"/>
        <w:rPr>
          <w:color w:val="FB290D"/>
          <w:sz w:val="28"/>
        </w:rPr>
      </w:pPr>
    </w:p>
    <w:p w14:paraId="6B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 приведены в приложении № 3.</w:t>
      </w:r>
    </w:p>
    <w:p w14:paraId="6C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6D000000">
      <w:pPr>
        <w:pStyle w:val="Style_3"/>
        <w:ind/>
        <w:jc w:val="center"/>
        <w:outlineLvl w:val="1"/>
        <w:rPr>
          <w:color w:val="000000"/>
          <w:sz w:val="28"/>
        </w:rPr>
      </w:pPr>
      <w:r>
        <w:rPr>
          <w:color w:val="000000"/>
          <w:sz w:val="28"/>
        </w:rPr>
        <w:t>6. Информация о результатах оценки эффективности</w:t>
      </w:r>
    </w:p>
    <w:p w14:paraId="6E000000">
      <w:pPr>
        <w:pStyle w:val="Style_3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муниципальной программы</w:t>
      </w:r>
    </w:p>
    <w:p w14:paraId="6F000000">
      <w:pPr>
        <w:pStyle w:val="Style_4"/>
        <w:ind/>
        <w:jc w:val="both"/>
        <w:rPr>
          <w:rFonts w:ascii="Times New Roman" w:hAnsi="Times New Roman"/>
          <w:color w:val="000000"/>
          <w:sz w:val="28"/>
        </w:rPr>
      </w:pPr>
    </w:p>
    <w:p w14:paraId="70000000">
      <w:pPr>
        <w:pStyle w:val="Style_4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Эффективность реализации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1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72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хода реализации:</w:t>
      </w:r>
    </w:p>
    <w:p w14:paraId="73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показателя (индикатора) 1 равна 1,0;</w:t>
      </w:r>
    </w:p>
    <w:p w14:paraId="74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равна 1,0;</w:t>
      </w:r>
    </w:p>
    <w:p w14:paraId="75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равна 1,0;</w:t>
      </w:r>
    </w:p>
    <w:p w14:paraId="76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равна 1,0;</w:t>
      </w:r>
    </w:p>
    <w:p w14:paraId="77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равна 1,0;</w:t>
      </w:r>
    </w:p>
    <w:p w14:paraId="78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равна 1,0;</w:t>
      </w:r>
    </w:p>
    <w:p w14:paraId="79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равна 1,0;</w:t>
      </w:r>
    </w:p>
    <w:p w14:paraId="7A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показателя (</w:t>
      </w:r>
      <w:r>
        <w:rPr>
          <w:rFonts w:ascii="Times New Roman" w:hAnsi="Times New Roman"/>
          <w:color w:val="000000"/>
          <w:sz w:val="28"/>
        </w:rPr>
        <w:t>индикатора)</w:t>
      </w:r>
      <w:r>
        <w:rPr>
          <w:rFonts w:ascii="Times New Roman" w:hAnsi="Times New Roman"/>
          <w:color w:val="000000"/>
          <w:sz w:val="28"/>
        </w:rPr>
        <w:t xml:space="preserve">  8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равна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,0;</w:t>
      </w:r>
    </w:p>
    <w:p w14:paraId="7B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показателя (</w:t>
      </w:r>
      <w:r>
        <w:rPr>
          <w:rFonts w:ascii="Times New Roman" w:hAnsi="Times New Roman"/>
          <w:color w:val="000000"/>
          <w:sz w:val="28"/>
        </w:rPr>
        <w:t>индикатора)</w:t>
      </w:r>
      <w:r>
        <w:rPr>
          <w:rFonts w:ascii="Times New Roman" w:hAnsi="Times New Roman"/>
          <w:color w:val="000000"/>
          <w:sz w:val="28"/>
        </w:rPr>
        <w:t xml:space="preserve">  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равна </w:t>
      </w:r>
      <w:r>
        <w:rPr>
          <w:rFonts w:ascii="Times New Roman" w:hAnsi="Times New Roman"/>
          <w:color w:val="000000"/>
          <w:sz w:val="28"/>
        </w:rPr>
        <w:t>0.</w:t>
      </w:r>
    </w:p>
    <w:p w14:paraId="7C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Суммарная оценка степени достижения целевых показателей </w:t>
      </w:r>
      <w:r>
        <w:rPr>
          <w:rFonts w:ascii="Times New Roman" w:hAnsi="Times New Roman"/>
          <w:color w:val="000000"/>
          <w:sz w:val="28"/>
        </w:rPr>
        <w:t xml:space="preserve">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составляет 0,89 (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/9), что характеризует средний уровень эффективности реализации муниципальной программы по степени достижения целевых показателей.</w:t>
      </w:r>
    </w:p>
    <w:p w14:paraId="7D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Обоснования отклонений значений показателей (индикаторов) от плановых значений приведены в </w:t>
      </w:r>
      <w:r>
        <w:rPr>
          <w:rFonts w:ascii="Times New Roman" w:hAnsi="Times New Roman"/>
          <w:color w:val="000000"/>
          <w:sz w:val="28"/>
        </w:rPr>
        <w:t>приложении N 3</w:t>
      </w:r>
      <w:r>
        <w:rPr>
          <w:rFonts w:ascii="Times New Roman" w:hAnsi="Times New Roman"/>
          <w:color w:val="000000"/>
          <w:sz w:val="28"/>
        </w:rPr>
        <w:t>.</w:t>
      </w:r>
    </w:p>
    <w:p w14:paraId="7E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7F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Степень реализации основных мероприятий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составляет 0,89 (8/9), что характеризует средний уровень эффективности реализации муниципальной программы по степени реализации основных мероприятий.</w:t>
      </w:r>
    </w:p>
    <w:p w14:paraId="80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81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82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реализации основных мероприятий муниципальной программы составляет 0,89 (8/9).</w:t>
      </w:r>
    </w:p>
    <w:p w14:paraId="83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84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соответствия запланированному уровню расходов составляет:</w:t>
      </w:r>
    </w:p>
    <w:p w14:paraId="85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377,1 тыс. рублей /377,1</w:t>
      </w:r>
      <w:r>
        <w:rPr>
          <w:rFonts w:ascii="Times New Roman" w:hAnsi="Times New Roman"/>
          <w:color w:val="000000"/>
          <w:sz w:val="28"/>
        </w:rPr>
        <w:t xml:space="preserve"> тыс. рублей =1</w:t>
      </w:r>
      <w:r>
        <w:rPr>
          <w:rFonts w:ascii="Times New Roman" w:hAnsi="Times New Roman"/>
          <w:color w:val="000000"/>
          <w:sz w:val="28"/>
        </w:rPr>
        <w:t>.</w:t>
      </w:r>
    </w:p>
    <w:p w14:paraId="86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87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88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0,89 / 1 = 0,89,</w:t>
      </w:r>
    </w:p>
    <w:p w14:paraId="89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связи с чем бюджетная эффективность реализации муниципальной программы является средней.</w:t>
      </w:r>
    </w:p>
    <w:p w14:paraId="8A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Уровень реализации муниципальной программы в целом:</w:t>
      </w:r>
    </w:p>
    <w:p w14:paraId="8B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1,0 х 0,5 + 0,89 х 0,3 + 1 х 0,2 = 0,97,</w:t>
      </w:r>
    </w:p>
    <w:p w14:paraId="8C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связи с чем уровень реализации муниципальной программы в </w:t>
      </w:r>
      <w:r>
        <w:rPr>
          <w:rFonts w:ascii="Times New Roman" w:hAnsi="Times New Roman"/>
          <w:color w:val="000000"/>
          <w:sz w:val="28"/>
        </w:rPr>
        <w:t>20201</w:t>
      </w:r>
      <w:r>
        <w:rPr>
          <w:rFonts w:ascii="Times New Roman" w:hAnsi="Times New Roman"/>
          <w:color w:val="000000"/>
          <w:sz w:val="28"/>
        </w:rPr>
        <w:t>году является высокой.</w:t>
      </w:r>
    </w:p>
    <w:p w14:paraId="8D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Расходы, произведенные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8E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"https://login.consultant.ru/link/?req=doc&amp;base=RZB&amp;n=315102&amp;date=12.05.2019"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8F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Перераспределение бюджетных ассигнований между мероприятиями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не осуществлялось.</w:t>
      </w:r>
    </w:p>
    <w:p w14:paraId="90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Средства внебюджетных источников на реализацию основных мероприятий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не привлекались.</w:t>
      </w:r>
    </w:p>
    <w:p w14:paraId="91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проверка целевого и эффективного расходования средств на реализацию муниципальной программы не проводилась.</w:t>
      </w:r>
    </w:p>
    <w:p w14:paraId="92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21</w:t>
      </w:r>
      <w:r>
        <w:rPr>
          <w:rFonts w:ascii="Times New Roman" w:hAnsi="Times New Roman"/>
          <w:color w:val="000000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93000000">
      <w:pPr>
        <w:rPr>
          <w:color w:val="000000"/>
          <w:sz w:val="28"/>
        </w:rPr>
      </w:pPr>
    </w:p>
    <w:p w14:paraId="94000000">
      <w:pPr>
        <w:spacing w:line="228" w:lineRule="auto"/>
        <w:ind/>
        <w:jc w:val="both"/>
        <w:rPr>
          <w:color w:val="000000"/>
          <w:sz w:val="28"/>
        </w:rPr>
      </w:pPr>
    </w:p>
    <w:p w14:paraId="95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96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расходов на реализацию основных мероприятий подпрограмм муниципальной программы.</w:t>
      </w:r>
    </w:p>
    <w:p w14:paraId="97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Основной целью муниципальной программы </w:t>
      </w:r>
      <w:r>
        <w:rPr>
          <w:color w:val="000000"/>
          <w:sz w:val="28"/>
        </w:rPr>
        <w:t xml:space="preserve">является  </w:t>
      </w:r>
      <w:r>
        <w:rPr>
          <w:color w:val="000000"/>
          <w:sz w:val="28"/>
        </w:rPr>
        <w:t>повышение</w:t>
      </w:r>
      <w:r>
        <w:rPr>
          <w:color w:val="000000"/>
          <w:sz w:val="28"/>
        </w:rPr>
        <w:t xml:space="preserve"> энергетической эффективности организаций. </w:t>
      </w:r>
    </w:p>
    <w:p w14:paraId="98000000">
      <w:pPr>
        <w:rPr>
          <w:color w:val="000000"/>
        </w:rPr>
      </w:pPr>
      <w:r>
        <w:rPr>
          <w:color w:val="000000"/>
          <w:sz w:val="28"/>
        </w:rPr>
        <w:t>Для достижения</w:t>
      </w:r>
      <w:r>
        <w:rPr>
          <w:color w:val="000000"/>
          <w:sz w:val="28"/>
        </w:rPr>
        <w:t xml:space="preserve"> основной цели необходимо решить следующие задачи</w:t>
      </w:r>
      <w:r>
        <w:rPr>
          <w:color w:val="000000"/>
        </w:rPr>
        <w:t>:</w:t>
      </w:r>
    </w:p>
    <w:p w14:paraId="99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- </w:t>
      </w:r>
      <w:r>
        <w:rPr>
          <w:color w:val="000000"/>
          <w:sz w:val="28"/>
        </w:rPr>
        <w:t>обеспечение уровня оснащенности приборами учета используемых энергетических ресурсов;</w:t>
      </w:r>
    </w:p>
    <w:p w14:paraId="9A000000">
      <w:pPr>
        <w:rPr>
          <w:color w:val="000000"/>
          <w:sz w:val="28"/>
        </w:rPr>
      </w:pPr>
      <w:r>
        <w:rPr>
          <w:color w:val="000000"/>
          <w:sz w:val="28"/>
        </w:rPr>
        <w:t>-снижение объема используемых энергетических ресурсов в организациях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9B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году и в плановом периоде 2023</w:t>
      </w:r>
      <w:r>
        <w:rPr>
          <w:color w:val="000000"/>
          <w:sz w:val="28"/>
        </w:rPr>
        <w:t xml:space="preserve"> и 2024</w:t>
      </w:r>
      <w:r>
        <w:rPr>
          <w:color w:val="000000"/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9C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 по программе «Энергоэффективность и развитие энергетики» инвестиционные расходы отсутствуют.</w:t>
      </w:r>
    </w:p>
    <w:p w14:paraId="9D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14:paraId="9E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  </w:t>
      </w:r>
      <w:r>
        <w:rPr>
          <w:color w:val="000000"/>
          <w:sz w:val="28"/>
        </w:rPr>
        <w:t>М.В.Качарова</w:t>
      </w:r>
    </w:p>
    <w:p w14:paraId="9F000000">
      <w:pPr>
        <w:sectPr>
          <w:footerReference r:id="rId2" w:type="default"/>
          <w:pgSz w:h="16840" w:orient="portrait" w:w="11907"/>
          <w:pgMar w:bottom="1134" w:footer="720" w:gutter="0" w:header="720" w:left="1304" w:right="851" w:top="709"/>
        </w:sectPr>
      </w:pPr>
    </w:p>
    <w:p w14:paraId="A0000000">
      <w:pPr>
        <w:ind w:firstLine="0" w:left="10206"/>
        <w:rPr>
          <w:sz w:val="28"/>
        </w:rPr>
      </w:pPr>
    </w:p>
    <w:p w14:paraId="A1000000">
      <w:pPr>
        <w:ind w:firstLine="0" w:left="10206"/>
        <w:jc w:val="center"/>
        <w:rPr>
          <w:sz w:val="28"/>
        </w:rPr>
      </w:pPr>
    </w:p>
    <w:p w14:paraId="A2000000">
      <w:pPr>
        <w:ind w:firstLine="0" w:left="10206"/>
        <w:jc w:val="center"/>
        <w:rPr>
          <w:sz w:val="28"/>
        </w:rPr>
      </w:pPr>
      <w:r>
        <w:rPr>
          <w:sz w:val="28"/>
        </w:rPr>
        <w:t xml:space="preserve">Приложение № 1 </w:t>
      </w:r>
    </w:p>
    <w:p w14:paraId="A3000000">
      <w:pPr>
        <w:ind w:firstLine="0"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A4000000">
      <w:pPr>
        <w:ind w:firstLine="0"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A5000000">
      <w:pPr>
        <w:ind w:firstLine="0" w:left="10206"/>
        <w:jc w:val="center"/>
        <w:rPr>
          <w:sz w:val="28"/>
        </w:rPr>
      </w:pPr>
      <w:r>
        <w:rPr>
          <w:sz w:val="28"/>
        </w:rPr>
        <w:t xml:space="preserve"> «Энергоэффективность и развитие энергетики» за </w:t>
      </w:r>
      <w:r>
        <w:rPr>
          <w:sz w:val="28"/>
        </w:rPr>
        <w:t>2021</w:t>
      </w:r>
      <w:r>
        <w:rPr>
          <w:sz w:val="28"/>
        </w:rPr>
        <w:t xml:space="preserve"> год</w:t>
      </w:r>
    </w:p>
    <w:p w14:paraId="A6000000">
      <w:pPr>
        <w:widowControl w:val="0"/>
        <w:ind w:firstLine="540" w:left="0"/>
        <w:jc w:val="both"/>
        <w:rPr>
          <w:sz w:val="22"/>
        </w:rPr>
      </w:pPr>
    </w:p>
    <w:p w14:paraId="A7000000">
      <w:pPr>
        <w:pStyle w:val="Style_3"/>
        <w:ind/>
        <w:jc w:val="center"/>
      </w:pPr>
      <w:r>
        <w:t>СВЕДЕНИЯ</w:t>
      </w:r>
    </w:p>
    <w:p w14:paraId="A8000000">
      <w:pPr>
        <w:pStyle w:val="Style_3"/>
        <w:ind/>
        <w:jc w:val="center"/>
      </w:pPr>
      <w:r>
        <w:t>О ВЫПОЛНЕНИИ ОСНОВНЫХ МЕРОПРИЯТИЙ ПОДПРОГРАММ И КОНТРОЛЬНЫХ</w:t>
      </w:r>
    </w:p>
    <w:p w14:paraId="A9000000">
      <w:pPr>
        <w:pStyle w:val="Style_3"/>
        <w:ind/>
        <w:jc w:val="center"/>
      </w:pPr>
      <w:r>
        <w:t>СОБЫТИЙ МУНИЦИПАЛЬНОЙ ПРОГРАММЫ ЛОПАНСКОГО СЕЛЬСКОГО ПОСЕЛЕНИЯ</w:t>
      </w:r>
    </w:p>
    <w:p w14:paraId="AA000000">
      <w:pPr>
        <w:ind/>
        <w:jc w:val="center"/>
        <w:rPr>
          <w:sz w:val="24"/>
        </w:rPr>
      </w:pPr>
      <w:r>
        <w:t xml:space="preserve"> </w:t>
      </w:r>
      <w:r>
        <w:rPr>
          <w:sz w:val="24"/>
        </w:rPr>
        <w:t>«</w:t>
      </w:r>
      <w:r>
        <w:rPr>
          <w:sz w:val="24"/>
        </w:rPr>
        <w:t xml:space="preserve">Энергоэффективность и развитие </w:t>
      </w:r>
      <w:r>
        <w:rPr>
          <w:sz w:val="24"/>
        </w:rPr>
        <w:t>энергетики</w:t>
      </w:r>
      <w:r>
        <w:rPr>
          <w:sz w:val="24"/>
        </w:rPr>
        <w:t>»</w:t>
      </w:r>
      <w:r>
        <w:rPr>
          <w:sz w:val="24"/>
        </w:rPr>
        <w:t xml:space="preserve">   </w:t>
      </w:r>
      <w:r>
        <w:rPr>
          <w:sz w:val="24"/>
        </w:rPr>
        <w:t xml:space="preserve">за </w:t>
      </w:r>
      <w:r>
        <w:rPr>
          <w:sz w:val="24"/>
        </w:rPr>
        <w:t>2021</w:t>
      </w:r>
      <w:r>
        <w:rPr>
          <w:sz w:val="24"/>
        </w:rPr>
        <w:t xml:space="preserve"> год</w:t>
      </w:r>
    </w:p>
    <w:p w14:paraId="AB000000">
      <w:pPr>
        <w:rPr>
          <w:sz w:val="28"/>
        </w:rPr>
      </w:pPr>
    </w:p>
    <w:tbl>
      <w:tblPr>
        <w:tblStyle w:val="Style_5"/>
        <w:tblInd w:type="dxa" w:w="75"/>
        <w:tblLayout w:type="fixed"/>
        <w:tblCellMar>
          <w:left w:type="dxa" w:w="75"/>
          <w:right w:type="dxa" w:w="75"/>
        </w:tblCellMar>
      </w:tblPr>
      <w:tblGrid>
        <w:gridCol w:w="698"/>
        <w:gridCol w:w="2927"/>
        <w:gridCol w:w="1813"/>
        <w:gridCol w:w="1396"/>
        <w:gridCol w:w="1395"/>
        <w:gridCol w:w="1812"/>
        <w:gridCol w:w="1953"/>
        <w:gridCol w:w="1532"/>
        <w:gridCol w:w="1397"/>
      </w:tblGrid>
      <w:tr>
        <w:trPr>
          <w:trHeight w:hRule="atLeast" w:val="854"/>
        </w:trPr>
        <w:tc>
          <w:tcPr>
            <w:tcW w:type="dxa" w:w="6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</w:pPr>
            <w:r>
              <w:t>№ п/п</w:t>
            </w:r>
          </w:p>
        </w:tc>
        <w:tc>
          <w:tcPr>
            <w:tcW w:type="dxa" w:w="29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</w:t>
            </w:r>
            <w:r>
              <w:t>соисполнитель,участник</w:t>
            </w:r>
            <w:r>
              <w:t xml:space="preserve"> (должность/ ФИО)</w:t>
            </w:r>
          </w:p>
        </w:tc>
        <w:tc>
          <w:tcPr>
            <w:tcW w:type="dxa" w:w="13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</w:pPr>
            <w:r>
              <w:t>Плановый срок окончания реализации</w:t>
            </w:r>
          </w:p>
        </w:tc>
        <w:tc>
          <w:tcPr>
            <w:tcW w:type="dxa" w:w="3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jc w:val="center"/>
            </w:pPr>
            <w:r>
              <w:t>Фактический срок</w:t>
            </w:r>
          </w:p>
        </w:tc>
        <w:tc>
          <w:tcPr>
            <w:tcW w:type="dxa" w:w="3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jc w:val="center"/>
            </w:pPr>
            <w:r>
              <w:t>Результаты</w:t>
            </w:r>
          </w:p>
        </w:tc>
        <w:tc>
          <w:tcPr>
            <w:tcW w:type="dxa" w:w="1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jc w:val="center"/>
            </w:pPr>
            <w:r>
              <w:t>Проблемы не реализации/реализации не в полном объеме</w:t>
            </w:r>
          </w:p>
        </w:tc>
      </w:tr>
      <w:tr>
        <w:trPr>
          <w:trHeight w:hRule="atLeast" w:val="720"/>
        </w:trPr>
        <w:tc>
          <w:tcPr>
            <w:tcW w:type="dxa" w:w="6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center"/>
            </w:pPr>
            <w:r>
              <w:t>Начала реализации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  <w:r>
              <w:t>Окончание реализации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</w:pPr>
            <w:r>
              <w:t>Запланированные</w:t>
            </w:r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  <w:r>
              <w:t>Достигнутые</w:t>
            </w:r>
          </w:p>
        </w:tc>
        <w:tc>
          <w:tcPr>
            <w:tcW w:type="dxa" w:w="1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9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8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  <w:jc w:val="center"/>
            </w:pPr>
            <w:r>
              <w:t>9</w:t>
            </w:r>
          </w:p>
        </w:tc>
      </w:tr>
      <w:tr>
        <w:trPr>
          <w:trHeight w:hRule="atLeast" w:val="360"/>
        </w:trPr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4224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Подпрограмма</w:t>
            </w:r>
            <w:r>
              <w:rPr>
                <w:b w:val="1"/>
              </w:rPr>
              <w:t xml:space="preserve"> 1</w:t>
            </w:r>
            <w:r>
              <w:rPr>
                <w:b w:val="1"/>
              </w:rPr>
              <w:t xml:space="preserve"> «</w:t>
            </w:r>
            <w:bookmarkStart w:id="9" w:name="OLE_LINK143"/>
            <w:bookmarkStart w:id="10" w:name="OLE_LINK144"/>
            <w:bookmarkStart w:id="11" w:name="OLE_LINK145"/>
            <w:r>
              <w:rPr>
                <w:b w:val="1"/>
              </w:rPr>
              <w:t>Энергосбережение и повышение энергетической эффективности в муниципальных учреждениях</w:t>
            </w:r>
            <w:bookmarkEnd w:id="9"/>
            <w:bookmarkEnd w:id="10"/>
            <w:bookmarkEnd w:id="11"/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</w:pPr>
            <w:bookmarkStart w:id="12" w:name="_Hlk40040669"/>
            <w:r>
              <w:t>1.1.</w:t>
            </w:r>
          </w:p>
        </w:tc>
        <w:tc>
          <w:tcPr>
            <w:tcW w:type="dxa" w:w="29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bookmarkStart w:id="13" w:name="OLE_LINK146"/>
            <w:bookmarkStart w:id="14" w:name="OLE_LINK147"/>
            <w:r>
              <w:rPr>
                <w:rFonts w:ascii="Times New Roman" w:hAnsi="Times New Roman"/>
              </w:rP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  <w:bookmarkEnd w:id="13"/>
            <w:bookmarkEnd w:id="14"/>
          </w:p>
        </w:tc>
        <w:tc>
          <w:tcPr>
            <w:tcW w:type="dxa" w:w="1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культуры» </w:t>
            </w:r>
            <w:r>
              <w:rPr>
                <w:rFonts w:ascii="Times New Roman" w:hAnsi="Times New Roman"/>
                <w:sz w:val="24"/>
              </w:rPr>
              <w:t>Мосенцева</w:t>
            </w:r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bookmarkStart w:id="15" w:name="OLE_LINK99"/>
            <w:bookmarkStart w:id="16" w:name="OLE_LINK100"/>
            <w:bookmarkStart w:id="17" w:name="OLE_LINK101"/>
            <w:r>
              <w:t>31.12.</w:t>
            </w:r>
            <w:r>
              <w:t>2021</w:t>
            </w:r>
            <w:bookmarkEnd w:id="15"/>
            <w:bookmarkEnd w:id="16"/>
            <w:bookmarkEnd w:id="17"/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jc w:val="center"/>
            </w:pPr>
            <w:r>
              <w:t>01.01.</w:t>
            </w:r>
            <w:r>
              <w:t>2021</w:t>
            </w:r>
          </w:p>
        </w:tc>
        <w:tc>
          <w:tcPr>
            <w:tcW w:type="dxa" w:w="18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jc w:val="center"/>
            </w:pPr>
            <w:r>
              <w:t>31.12.</w:t>
            </w:r>
            <w:r>
              <w:t>2021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widowControl w:val="0"/>
              <w:ind/>
              <w:jc w:val="center"/>
            </w:pPr>
            <w:bookmarkStart w:id="18" w:name="OLE_LINK1"/>
            <w:bookmarkStart w:id="19" w:name="OLE_LINK2"/>
            <w:r>
              <w:rPr>
                <w:sz w:val="24"/>
              </w:rPr>
              <w:t xml:space="preserve">сокращение объемов потребления энергоресурсов, оплачиваемых </w:t>
            </w:r>
            <w:r>
              <w:rPr>
                <w:sz w:val="24"/>
              </w:rPr>
              <w:t>из  бюджета</w:t>
            </w:r>
            <w:r>
              <w:rPr>
                <w:sz w:val="24"/>
              </w:rPr>
              <w:t xml:space="preserve"> поселения</w:t>
            </w:r>
            <w:bookmarkEnd w:id="18"/>
            <w:bookmarkEnd w:id="19"/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Объемы уменьшилось на </w:t>
            </w:r>
            <w:r>
              <w:rPr>
                <w:color w:val="000000"/>
              </w:rPr>
              <w:t xml:space="preserve"> 2,4 тыс. кВт/ч по сравнению с 2020г.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widowControl w:val="0"/>
              <w:ind/>
              <w:rPr>
                <w:color w:val="FB290D"/>
              </w:rPr>
            </w:pPr>
          </w:p>
        </w:tc>
      </w:tr>
      <w:tr>
        <w:trPr>
          <w:trHeight w:hRule="atLeast" w:val="360"/>
        </w:trPr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widowControl w:val="0"/>
              <w:ind/>
            </w:pPr>
            <w:bookmarkStart w:id="20" w:name="_Hlk40040635"/>
            <w:bookmarkEnd w:id="12"/>
          </w:p>
        </w:tc>
        <w:tc>
          <w:tcPr>
            <w:tcW w:type="dxa" w:w="29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CD000000">
            <w:pPr>
              <w:widowControl w:val="0"/>
              <w:ind/>
            </w:pPr>
            <w:r>
              <w:t xml:space="preserve">программы  </w:t>
            </w:r>
          </w:p>
        </w:tc>
        <w:tc>
          <w:tcPr>
            <w:tcW w:type="dxa" w:w="1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widowControl w:val="0"/>
              <w:ind/>
            </w:pPr>
            <w:r>
              <w:t xml:space="preserve">Директор МБУК ЛСП ЦР «Дом культуры» </w:t>
            </w:r>
            <w:r>
              <w:t>Мосенцева</w:t>
            </w:r>
            <w:r>
              <w:t xml:space="preserve"> С.А.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jc w:val="center"/>
            </w:pPr>
            <w:r>
              <w:t>31.12.</w:t>
            </w:r>
            <w:r>
              <w:t>2021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</w:pPr>
          </w:p>
        </w:tc>
        <w:tc>
          <w:tcPr>
            <w:tcW w:type="dxa" w:w="18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</w:pPr>
            <w:r>
              <w:t xml:space="preserve">Замена </w:t>
            </w:r>
            <w:r>
              <w:t>лапм</w:t>
            </w:r>
            <w:r>
              <w:t xml:space="preserve"> </w:t>
            </w:r>
            <w:bookmarkStart w:id="21" w:name="OLE_LINK103"/>
            <w:bookmarkStart w:id="22" w:name="OLE_LINK104"/>
            <w:r>
              <w:t>накаливания</w:t>
            </w:r>
            <w:bookmarkEnd w:id="21"/>
            <w:bookmarkEnd w:id="22"/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  <w:jc w:val="center"/>
            </w:pPr>
            <w:r>
              <w:t>Замен</w:t>
            </w:r>
            <w:r>
              <w:t>ены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</w:pPr>
            <w:bookmarkEnd w:id="20"/>
          </w:p>
        </w:tc>
      </w:tr>
      <w:tr>
        <w:trPr>
          <w:trHeight w:hRule="atLeast" w:val="360"/>
        </w:trPr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14224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Подпрограмма 2. </w:t>
            </w:r>
            <w:bookmarkStart w:id="23" w:name="OLE_LINK149"/>
            <w:bookmarkStart w:id="24" w:name="OLE_LINK150"/>
            <w:r>
              <w:rPr>
                <w:b w:val="1"/>
              </w:rPr>
              <w:t>«Развитие и модернизация электрических сетей, включая сети уличного освещения»</w:t>
            </w:r>
            <w:bookmarkEnd w:id="23"/>
            <w:bookmarkEnd w:id="24"/>
          </w:p>
        </w:tc>
      </w:tr>
      <w:tr>
        <w:trPr>
          <w:trHeight w:hRule="atLeast" w:val="360"/>
        </w:trPr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</w:pPr>
            <w:bookmarkStart w:id="25" w:name="_Hlk40040719"/>
            <w:r>
              <w:t>2.1.</w:t>
            </w:r>
          </w:p>
        </w:tc>
        <w:tc>
          <w:tcPr>
            <w:tcW w:type="dxa" w:w="29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</w:pPr>
            <w:r>
              <w:t xml:space="preserve">Замена </w:t>
            </w:r>
            <w:r>
              <w:t>неэфективных</w:t>
            </w:r>
            <w:r>
              <w:t xml:space="preserve"> элементов систем освещения, в том числе и светильников</w:t>
            </w:r>
            <w:r>
              <w:tab/>
            </w:r>
          </w:p>
        </w:tc>
        <w:tc>
          <w:tcPr>
            <w:tcW w:type="dxa" w:w="1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</w:pPr>
            <w:r>
              <w:t>Главный специалист по ЖКХ</w:t>
            </w:r>
          </w:p>
          <w:p w14:paraId="DA000000">
            <w:pPr>
              <w:widowControl w:val="0"/>
              <w:ind/>
            </w:pPr>
            <w:r>
              <w:t>Гимбатов</w:t>
            </w:r>
            <w:r>
              <w:t xml:space="preserve"> М.А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jc w:val="center"/>
            </w:pPr>
            <w:r>
              <w:t>31.12.</w:t>
            </w:r>
            <w:r>
              <w:t>2021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</w:pPr>
            <w:r>
              <w:t>01.01.</w:t>
            </w:r>
            <w:r>
              <w:t>2021</w:t>
            </w:r>
          </w:p>
        </w:tc>
        <w:tc>
          <w:tcPr>
            <w:tcW w:type="dxa" w:w="18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</w:pPr>
            <w:r>
              <w:t>31.12.</w:t>
            </w:r>
            <w:r>
              <w:t>2021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</w:pPr>
            <w:bookmarkEnd w:id="25"/>
          </w:p>
        </w:tc>
      </w:tr>
      <w:tr>
        <w:trPr>
          <w:trHeight w:hRule="atLeast" w:val="360"/>
        </w:trPr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</w:pPr>
            <w:r>
              <w:t>2.2.</w:t>
            </w:r>
          </w:p>
        </w:tc>
        <w:tc>
          <w:tcPr>
            <w:tcW w:type="dxa" w:w="29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</w:pPr>
            <w:bookmarkStart w:id="26" w:name="OLE_LINK164"/>
            <w:bookmarkStart w:id="27" w:name="OLE_LINK165"/>
            <w:bookmarkStart w:id="28" w:name="OLE_LINK166"/>
            <w:r>
              <w:t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  <w:r>
              <w:tab/>
            </w:r>
            <w:bookmarkEnd w:id="26"/>
            <w:bookmarkEnd w:id="27"/>
            <w:bookmarkEnd w:id="28"/>
          </w:p>
        </w:tc>
        <w:tc>
          <w:tcPr>
            <w:tcW w:type="dxa" w:w="1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</w:pPr>
            <w:bookmarkStart w:id="29" w:name="OLE_LINK133"/>
            <w:r>
              <w:t>Главный специалист по ЖКХ</w:t>
            </w:r>
            <w:bookmarkEnd w:id="29"/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jc w:val="center"/>
            </w:pPr>
            <w:bookmarkStart w:id="30" w:name="OLE_LINK134"/>
            <w:bookmarkStart w:id="31" w:name="OLE_LINK135"/>
            <w:r>
              <w:t>31.12.</w:t>
            </w:r>
            <w:r>
              <w:t>2021</w:t>
            </w:r>
            <w:bookmarkEnd w:id="30"/>
            <w:bookmarkEnd w:id="31"/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</w:pPr>
            <w:r>
              <w:t>01.01.</w:t>
            </w:r>
            <w:r>
              <w:t>2021</w:t>
            </w:r>
          </w:p>
        </w:tc>
        <w:tc>
          <w:tcPr>
            <w:tcW w:type="dxa" w:w="18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</w:pPr>
            <w:r>
              <w:t>31.12.</w:t>
            </w:r>
            <w:r>
              <w:t>2021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кращение объемов потребления энергоресурсов, оплачиваемых </w:t>
            </w:r>
            <w:r>
              <w:rPr>
                <w:color w:val="000000"/>
              </w:rPr>
              <w:t>из  бюджета</w:t>
            </w:r>
            <w:r>
              <w:rPr>
                <w:color w:val="000000"/>
              </w:rPr>
              <w:t xml:space="preserve"> поселения</w:t>
            </w:r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 электроэнергии увеличился по сравнению с прошлым годом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величение протяженности сетей уличного освещения</w:t>
            </w:r>
          </w:p>
        </w:tc>
      </w:tr>
      <w:tr>
        <w:trPr>
          <w:trHeight w:hRule="atLeast" w:val="1355"/>
        </w:trPr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</w:pPr>
          </w:p>
        </w:tc>
        <w:tc>
          <w:tcPr>
            <w:tcW w:type="dxa" w:w="29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widowControl w:val="0"/>
              <w:ind/>
            </w:pPr>
            <w:bookmarkStart w:id="32" w:name="OLE_LINK94"/>
            <w:bookmarkStart w:id="33" w:name="OLE_LINK95"/>
            <w:r>
              <w:t xml:space="preserve">Контрольное событие  </w:t>
            </w:r>
            <w:r>
              <w:br/>
            </w:r>
            <w:r>
              <w:t xml:space="preserve">программы  </w:t>
            </w:r>
            <w:bookmarkEnd w:id="32"/>
            <w:bookmarkEnd w:id="33"/>
          </w:p>
        </w:tc>
        <w:tc>
          <w:tcPr>
            <w:tcW w:type="dxa" w:w="1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</w:pPr>
            <w:r>
              <w:t>Главный специалист по ЖКХ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jc w:val="center"/>
            </w:pPr>
            <w:r>
              <w:t>31.12.</w:t>
            </w:r>
            <w:r>
              <w:t>2021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8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rPr>
                <w:color w:val="000000"/>
              </w:rPr>
            </w:pPr>
            <w:r>
              <w:t xml:space="preserve"> д</w:t>
            </w:r>
            <w:r>
              <w:rPr>
                <w:color w:val="000000"/>
              </w:rPr>
              <w:t>екабрь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Поддержание </w:t>
            </w:r>
            <w:bookmarkStart w:id="34" w:name="OLE_LINK136"/>
            <w:bookmarkStart w:id="35" w:name="OLE_LINK137"/>
            <w:r>
              <w:rPr>
                <w:color w:val="000000"/>
              </w:rPr>
              <w:t xml:space="preserve">сетей уличного освещения в рабочем состоянии </w:t>
            </w:r>
            <w:bookmarkEnd w:id="34"/>
            <w:bookmarkEnd w:id="35"/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ети уличного освещения </w:t>
            </w:r>
            <w:r>
              <w:rPr>
                <w:color w:val="000000"/>
              </w:rPr>
              <w:t>находятся  в</w:t>
            </w:r>
            <w:r>
              <w:rPr>
                <w:color w:val="000000"/>
              </w:rPr>
              <w:t xml:space="preserve"> рабочем состоянии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</w:pPr>
          </w:p>
        </w:tc>
      </w:tr>
    </w:tbl>
    <w:p w14:paraId="F3000000">
      <w:pPr>
        <w:widowControl w:val="0"/>
        <w:ind/>
        <w:jc w:val="both"/>
        <w:rPr>
          <w:sz w:val="22"/>
        </w:rPr>
      </w:pPr>
    </w:p>
    <w:p w14:paraId="F4000000">
      <w:pPr>
        <w:ind/>
        <w:jc w:val="center"/>
        <w:rPr>
          <w:sz w:val="28"/>
        </w:rPr>
      </w:pPr>
    </w:p>
    <w:p w14:paraId="F5000000">
      <w:pPr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  </w:t>
      </w:r>
      <w:r>
        <w:rPr>
          <w:sz w:val="28"/>
        </w:rPr>
        <w:t>М.В.Качарова</w:t>
      </w:r>
    </w:p>
    <w:p w14:paraId="F6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</w:t>
      </w:r>
    </w:p>
    <w:p w14:paraId="F7000000">
      <w:pPr>
        <w:ind/>
        <w:jc w:val="center"/>
        <w:rPr>
          <w:sz w:val="28"/>
        </w:rPr>
      </w:pPr>
    </w:p>
    <w:p w14:paraId="F8000000">
      <w:pPr>
        <w:ind/>
        <w:jc w:val="center"/>
        <w:rPr>
          <w:sz w:val="28"/>
        </w:rPr>
      </w:pPr>
    </w:p>
    <w:p w14:paraId="F9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</w:t>
      </w:r>
    </w:p>
    <w:p w14:paraId="FA000000">
      <w:pPr>
        <w:ind/>
        <w:jc w:val="center"/>
        <w:rPr>
          <w:sz w:val="28"/>
        </w:rPr>
      </w:pPr>
    </w:p>
    <w:p w14:paraId="FB000000">
      <w:pPr>
        <w:ind/>
        <w:jc w:val="center"/>
        <w:rPr>
          <w:sz w:val="28"/>
        </w:rPr>
      </w:pPr>
    </w:p>
    <w:p w14:paraId="FC000000">
      <w:pPr>
        <w:ind/>
        <w:jc w:val="center"/>
        <w:rPr>
          <w:sz w:val="28"/>
        </w:rPr>
      </w:pPr>
    </w:p>
    <w:p w14:paraId="FD000000">
      <w:pPr>
        <w:ind/>
        <w:jc w:val="center"/>
        <w:rPr>
          <w:sz w:val="28"/>
        </w:rPr>
      </w:pPr>
    </w:p>
    <w:p w14:paraId="FE000000">
      <w:pPr>
        <w:ind/>
        <w:jc w:val="center"/>
        <w:rPr>
          <w:sz w:val="28"/>
        </w:rPr>
      </w:pPr>
    </w:p>
    <w:p w14:paraId="FF000000">
      <w:pPr>
        <w:ind/>
        <w:jc w:val="center"/>
        <w:rPr>
          <w:sz w:val="28"/>
        </w:rPr>
      </w:pPr>
    </w:p>
    <w:p w14:paraId="00010000">
      <w:pPr>
        <w:ind/>
        <w:jc w:val="center"/>
        <w:rPr>
          <w:sz w:val="28"/>
        </w:rPr>
      </w:pPr>
    </w:p>
    <w:p w14:paraId="01010000">
      <w:pPr>
        <w:ind/>
        <w:jc w:val="center"/>
        <w:rPr>
          <w:sz w:val="28"/>
        </w:rPr>
      </w:pPr>
    </w:p>
    <w:p w14:paraId="02010000">
      <w:pPr>
        <w:ind/>
        <w:jc w:val="center"/>
        <w:rPr>
          <w:sz w:val="28"/>
        </w:rPr>
      </w:pPr>
    </w:p>
    <w:p w14:paraId="03010000">
      <w:pPr>
        <w:ind/>
        <w:jc w:val="center"/>
        <w:rPr>
          <w:sz w:val="28"/>
        </w:rPr>
      </w:pPr>
    </w:p>
    <w:p w14:paraId="04010000">
      <w:pPr>
        <w:ind/>
        <w:jc w:val="center"/>
        <w:rPr>
          <w:sz w:val="28"/>
        </w:rPr>
      </w:pPr>
    </w:p>
    <w:p w14:paraId="05010000">
      <w:pPr>
        <w:ind/>
        <w:jc w:val="center"/>
        <w:rPr>
          <w:sz w:val="28"/>
        </w:rPr>
      </w:pPr>
    </w:p>
    <w:p w14:paraId="06010000">
      <w:pPr>
        <w:ind/>
        <w:jc w:val="center"/>
        <w:rPr>
          <w:sz w:val="28"/>
        </w:rPr>
      </w:pPr>
    </w:p>
    <w:p w14:paraId="07010000">
      <w:pPr>
        <w:ind/>
        <w:jc w:val="center"/>
        <w:rPr>
          <w:sz w:val="28"/>
        </w:rPr>
      </w:pPr>
    </w:p>
    <w:p w14:paraId="08010000">
      <w:pPr>
        <w:ind/>
        <w:jc w:val="center"/>
        <w:rPr>
          <w:sz w:val="28"/>
        </w:rPr>
      </w:pPr>
    </w:p>
    <w:p w14:paraId="09010000">
      <w:pPr>
        <w:ind/>
        <w:jc w:val="center"/>
        <w:rPr>
          <w:color w:val="FF0000"/>
          <w:sz w:val="28"/>
        </w:rPr>
      </w:pPr>
    </w:p>
    <w:p w14:paraId="0A010000">
      <w:pPr>
        <w:ind/>
        <w:jc w:val="center"/>
        <w:rPr>
          <w:color w:val="FF0000"/>
          <w:sz w:val="28"/>
        </w:rPr>
      </w:pPr>
    </w:p>
    <w:p w14:paraId="0B010000">
      <w:pPr>
        <w:ind/>
        <w:jc w:val="center"/>
        <w:rPr>
          <w:sz w:val="28"/>
        </w:rPr>
      </w:pPr>
      <w:r>
        <w:rPr>
          <w:color w:val="FF0000"/>
          <w:sz w:val="28"/>
        </w:rPr>
        <w:t xml:space="preserve">                                                                                                                                   </w:t>
      </w:r>
      <w:r>
        <w:rPr>
          <w:color w:val="FF0000"/>
          <w:sz w:val="28"/>
        </w:rPr>
        <w:t xml:space="preserve">     </w:t>
      </w:r>
      <w:r>
        <w:rPr>
          <w:sz w:val="28"/>
        </w:rPr>
        <w:t xml:space="preserve">Приложение № 2 </w:t>
      </w:r>
    </w:p>
    <w:p w14:paraId="0C010000">
      <w:pPr>
        <w:ind w:firstLine="0"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0D010000">
      <w:pPr>
        <w:ind w:firstLine="0"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0E010000">
      <w:pPr>
        <w:ind w:firstLine="0" w:left="10206"/>
        <w:jc w:val="center"/>
        <w:rPr>
          <w:sz w:val="28"/>
          <w:highlight w:val="yellow"/>
        </w:rPr>
      </w:pPr>
      <w:r>
        <w:rPr>
          <w:sz w:val="28"/>
        </w:rPr>
        <w:t xml:space="preserve"> «Энергоэффективность и развитие энергетики» за </w:t>
      </w:r>
      <w:r>
        <w:rPr>
          <w:sz w:val="28"/>
        </w:rPr>
        <w:t>2021</w:t>
      </w:r>
      <w:r>
        <w:rPr>
          <w:sz w:val="28"/>
        </w:rPr>
        <w:t xml:space="preserve"> год</w:t>
      </w:r>
    </w:p>
    <w:p w14:paraId="0F010000">
      <w:pPr>
        <w:rPr>
          <w:sz w:val="28"/>
        </w:rPr>
      </w:pPr>
    </w:p>
    <w:p w14:paraId="10010000">
      <w:pPr>
        <w:rPr>
          <w:sz w:val="28"/>
        </w:rPr>
      </w:pPr>
    </w:p>
    <w:p w14:paraId="11010000">
      <w:pPr>
        <w:widowControl w:val="0"/>
        <w:ind/>
        <w:rPr>
          <w:sz w:val="28"/>
        </w:rPr>
      </w:pPr>
      <w:r>
        <w:rPr>
          <w:sz w:val="28"/>
        </w:rPr>
        <w:t>Сведения  об</w:t>
      </w:r>
      <w:r>
        <w:rPr>
          <w:sz w:val="28"/>
        </w:rPr>
        <w:t xml:space="preserve"> использовании бюджетных ассигнований и внебюджетных средств </w:t>
      </w:r>
    </w:p>
    <w:p w14:paraId="12010000">
      <w:pPr>
        <w:widowControl w:val="0"/>
        <w:ind/>
        <w:rPr>
          <w:sz w:val="28"/>
        </w:rPr>
      </w:pPr>
      <w:r>
        <w:rPr>
          <w:sz w:val="28"/>
        </w:rPr>
        <w:t>на реализацию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 xml:space="preserve">за  </w:t>
      </w:r>
      <w:r>
        <w:rPr>
          <w:sz w:val="28"/>
        </w:rPr>
        <w:t>2021</w:t>
      </w:r>
      <w:r>
        <w:rPr>
          <w:sz w:val="28"/>
        </w:rPr>
        <w:t xml:space="preserve"> год.</w:t>
      </w:r>
    </w:p>
    <w:p w14:paraId="13010000">
      <w:pPr>
        <w:widowControl w:val="0"/>
        <w:ind/>
        <w:jc w:val="center"/>
        <w:rPr>
          <w:sz w:val="24"/>
        </w:rPr>
      </w:pPr>
    </w:p>
    <w:tbl>
      <w:tblPr>
        <w:tblStyle w:val="Style_5"/>
        <w:tblInd w:type="dxa" w:w="-776"/>
        <w:tblLayout w:type="fixed"/>
        <w:tblCellMar>
          <w:left w:type="dxa" w:w="75"/>
          <w:right w:type="dxa" w:w="75"/>
        </w:tblCellMar>
      </w:tblPr>
      <w:tblGrid>
        <w:gridCol w:w="3970"/>
        <w:gridCol w:w="3544"/>
        <w:gridCol w:w="1842"/>
        <w:gridCol w:w="2552"/>
        <w:gridCol w:w="2977"/>
      </w:tblGrid>
      <w:tr>
        <w:trPr>
          <w:trHeight w:hRule="atLeast" w:val="945"/>
        </w:trPr>
        <w:tc>
          <w:tcPr>
            <w:tcW w:type="dxa" w:w="3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программы, подпрограммы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</w:t>
            </w:r>
          </w:p>
          <w:p w14:paraId="1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1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ВЦП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43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расходов (</w:t>
            </w:r>
            <w:r>
              <w:rPr>
                <w:rFonts w:ascii="Times New Roman" w:hAnsi="Times New Roman"/>
                <w:sz w:val="24"/>
              </w:rPr>
              <w:t>тыс.руб</w:t>
            </w:r>
            <w:r>
              <w:rPr>
                <w:rFonts w:ascii="Times New Roman" w:hAnsi="Times New Roman"/>
                <w:sz w:val="24"/>
              </w:rPr>
              <w:t xml:space="preserve">.), предусмотренных </w:t>
            </w:r>
          </w:p>
          <w:p w14:paraId="19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</w:tc>
      </w:tr>
      <w:tr>
        <w:trPr>
          <w:trHeight w:hRule="atLeast" w:val="1245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</w:t>
            </w:r>
          </w:p>
          <w:p w14:paraId="1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программой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rPr>
                <w:sz w:val="24"/>
              </w:rPr>
            </w:pPr>
            <w:r>
              <w:rPr>
                <w:sz w:val="24"/>
              </w:rPr>
              <w:t>сводной бюджетной росписью</w:t>
            </w:r>
          </w:p>
          <w:p w14:paraId="1E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397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</w:rPr>
              <w:t xml:space="preserve">   «</w:t>
            </w:r>
            <w:r>
              <w:rPr>
                <w:rFonts w:ascii="Times New Roman" w:hAnsi="Times New Roman"/>
                <w:sz w:val="24"/>
              </w:rPr>
              <w:t>Энергоэффективность и развитие энергетики»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377,1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377,1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377,1</w:t>
            </w:r>
          </w:p>
        </w:tc>
      </w:tr>
      <w:tr>
        <w:trPr>
          <w:trHeight w:hRule="atLeast" w:val="309"/>
        </w:trPr>
        <w:tc>
          <w:tcPr>
            <w:tcW w:type="dxa" w:w="397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377,1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377,1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377,1</w:t>
            </w:r>
          </w:p>
        </w:tc>
      </w:tr>
      <w:tr>
        <w:trPr>
          <w:trHeight w:hRule="atLeast" w:val="387"/>
        </w:trPr>
        <w:tc>
          <w:tcPr>
            <w:tcW w:type="dxa" w:w="397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397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25"/>
        </w:trPr>
        <w:tc>
          <w:tcPr>
            <w:tcW w:type="dxa" w:w="397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70"/>
        </w:trPr>
        <w:tc>
          <w:tcPr>
            <w:tcW w:type="dxa" w:w="397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3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36" w:name="OLE_LINK148"/>
            <w:bookmarkStart w:id="37" w:name="_Hlk40042389"/>
            <w:bookmarkEnd w:id="37"/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bookmarkEnd w:id="36"/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Энергосбережение и повышение энергетической эффективности в муниципальных учреждениях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>
        <w:trPr>
          <w:trHeight w:hRule="atLeast" w:val="423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>
        <w:trPr>
          <w:trHeight w:hRule="atLeast" w:val="517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</w:t>
            </w:r>
            <w:r>
              <w:rPr>
                <w:sz w:val="24"/>
              </w:rPr>
              <w:t xml:space="preserve">счет средств: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705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90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3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38" w:name="OLE_LINK153"/>
            <w:bookmarkStart w:id="39" w:name="_Hlk40042009"/>
            <w:r>
              <w:rPr>
                <w:rFonts w:ascii="Times New Roman" w:hAnsi="Times New Roman"/>
                <w:sz w:val="24"/>
              </w:rPr>
              <w:t>Основное мероприятие 1.1.</w:t>
            </w:r>
            <w:bookmarkEnd w:id="38"/>
          </w:p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4,0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4,0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4,0</w:t>
            </w:r>
          </w:p>
        </w:tc>
      </w:tr>
      <w:tr>
        <w:trPr>
          <w:trHeight w:hRule="atLeast" w:val="360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4,0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4,0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4,0</w:t>
            </w:r>
          </w:p>
        </w:tc>
      </w:tr>
      <w:tr>
        <w:trPr>
          <w:trHeight w:hRule="atLeast" w:val="450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bookmarkStart w:id="40" w:name="_Hlk40042269"/>
            <w:bookmarkEnd w:id="40"/>
          </w:p>
        </w:tc>
      </w:tr>
      <w:tr>
        <w:trPr>
          <w:trHeight w:hRule="atLeast" w:val="263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91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widowControl w:val="0"/>
              <w:ind/>
              <w:rPr>
                <w:sz w:val="24"/>
              </w:rPr>
            </w:pPr>
            <w:r>
              <w:t>внебюджетные источники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6"/>
              <w:rPr>
                <w:rFonts w:ascii="Times New Roman" w:hAnsi="Times New Roman"/>
                <w:sz w:val="24"/>
              </w:rPr>
            </w:pPr>
            <w:bookmarkStart w:id="41" w:name="_Hlk40042422"/>
            <w:bookmarkEnd w:id="41"/>
            <w:bookmarkStart w:id="42" w:name="_Hlk40042161"/>
            <w:bookmarkEnd w:id="39"/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t xml:space="preserve"> </w:t>
            </w:r>
            <w:bookmarkStart w:id="43" w:name="OLE_LINK180"/>
            <w:bookmarkStart w:id="44" w:name="OLE_LINK181"/>
            <w:bookmarkStart w:id="45" w:name="OLE_LINK182"/>
            <w:bookmarkStart w:id="46" w:name="OLE_LINK185"/>
            <w:bookmarkStart w:id="47" w:name="OLE_LINK186"/>
            <w:r>
              <w:rPr>
                <w:rFonts w:ascii="Times New Roman" w:hAnsi="Times New Roman"/>
                <w:sz w:val="24"/>
              </w:rPr>
              <w:t>«Развитие и модернизация электрических сетей, включая сети уличного освещения»</w:t>
            </w:r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widowControl w:val="0"/>
              <w:ind/>
              <w:rPr>
                <w:sz w:val="24"/>
              </w:rPr>
            </w:pPr>
            <w:r>
              <w:t xml:space="preserve">всего            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373,1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373,1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373,1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widowControl w:val="0"/>
              <w:ind/>
              <w:rPr>
                <w:sz w:val="24"/>
              </w:rPr>
            </w:pPr>
            <w:r>
              <w:t xml:space="preserve">местный бюджет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373,1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373,1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373,1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widowControl w:val="0"/>
              <w:ind/>
              <w:rPr>
                <w:sz w:val="24"/>
              </w:rPr>
            </w:pPr>
            <w: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widowControl w:val="0"/>
              <w:ind/>
              <w:rPr>
                <w:sz w:val="24"/>
              </w:rPr>
            </w:pPr>
            <w:r>
              <w:t>- областного бюджета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widowControl w:val="0"/>
              <w:ind/>
              <w:rPr>
                <w:sz w:val="24"/>
              </w:rPr>
            </w:pPr>
            <w:r>
              <w:t xml:space="preserve">- федерального бюджета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  <w:bookmarkStart w:id="48" w:name="_Hlk40042407"/>
            <w:bookmarkEnd w:id="48"/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widowControl w:val="0"/>
              <w:ind/>
              <w:rPr>
                <w:sz w:val="24"/>
              </w:rPr>
            </w:pPr>
            <w:r>
              <w:t>внебюджетные источники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6"/>
            </w:pPr>
            <w:bookmarkStart w:id="49" w:name="OLE_LINK159"/>
            <w:bookmarkStart w:id="50" w:name="_Hlk40042186"/>
            <w:bookmarkEnd w:id="42"/>
            <w:r>
              <w:rPr>
                <w:rFonts w:ascii="Times New Roman" w:hAnsi="Times New Roman"/>
                <w:sz w:val="24"/>
              </w:rPr>
              <w:t>Основное мероприятие 2.1.</w:t>
            </w:r>
            <w:r>
              <w:t xml:space="preserve"> </w:t>
            </w:r>
            <w:bookmarkEnd w:id="49"/>
          </w:p>
          <w:p w14:paraId="8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</w:rPr>
              <w:t>неэфективных</w:t>
            </w:r>
            <w:r>
              <w:rPr>
                <w:rFonts w:ascii="Times New Roman" w:hAnsi="Times New Roman"/>
                <w:sz w:val="24"/>
              </w:rPr>
              <w:t xml:space="preserve"> элементов систем освещения, в том числе и светильников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widowControl w:val="0"/>
              <w:ind/>
              <w:rPr>
                <w:sz w:val="24"/>
              </w:rPr>
            </w:pPr>
            <w:r>
              <w:t xml:space="preserve">всего            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widowControl w:val="0"/>
              <w:ind/>
              <w:rPr>
                <w:sz w:val="24"/>
              </w:rPr>
            </w:pPr>
            <w:r>
              <w:t xml:space="preserve">местный бюджет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widowControl w:val="0"/>
              <w:ind/>
              <w:rPr>
                <w:sz w:val="24"/>
              </w:rPr>
            </w:pPr>
            <w: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  <w:bookmarkStart w:id="51" w:name="_Hlk40042434"/>
            <w:bookmarkEnd w:id="51"/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widowControl w:val="0"/>
              <w:ind/>
              <w:rPr>
                <w:sz w:val="24"/>
              </w:rPr>
            </w:pPr>
            <w:r>
              <w:t>- областного бюджета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widowControl w:val="0"/>
              <w:ind/>
              <w:rPr>
                <w:sz w:val="24"/>
              </w:rPr>
            </w:pPr>
            <w:r>
              <w:t xml:space="preserve">- федерального бюджета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widowControl w:val="0"/>
              <w:ind/>
              <w:rPr>
                <w:sz w:val="24"/>
              </w:rPr>
            </w:pPr>
            <w:r>
              <w:t>внебюджетные источники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  <w:bookmarkEnd w:id="50"/>
          </w:p>
        </w:tc>
      </w:tr>
      <w:tr>
        <w:trPr>
          <w:trHeight w:hRule="atLeast" w:val="406"/>
        </w:trPr>
        <w:tc>
          <w:tcPr>
            <w:tcW w:type="dxa" w:w="3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Содержание сетей уличного </w:t>
            </w:r>
            <w:r>
              <w:rPr>
                <w:rFonts w:ascii="Times New Roman" w:hAnsi="Times New Roman"/>
                <w:sz w:val="24"/>
              </w:rPr>
              <w:t>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widowControl w:val="0"/>
              <w:ind/>
              <w:rPr>
                <w:sz w:val="24"/>
              </w:rPr>
            </w:pPr>
            <w:r>
              <w:t xml:space="preserve">всего            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373,1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373,1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373,1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widowControl w:val="0"/>
              <w:ind/>
              <w:rPr>
                <w:sz w:val="24"/>
              </w:rPr>
            </w:pPr>
            <w:r>
              <w:t xml:space="preserve">местный бюджет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373,1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373,1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373,1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widowControl w:val="0"/>
              <w:ind/>
              <w:rPr>
                <w:sz w:val="24"/>
              </w:rPr>
            </w:pPr>
            <w: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widowControl w:val="0"/>
              <w:ind/>
              <w:rPr>
                <w:sz w:val="24"/>
              </w:rPr>
            </w:pPr>
            <w:r>
              <w:t>- областного бюджета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widowControl w:val="0"/>
              <w:ind/>
              <w:rPr>
                <w:sz w:val="24"/>
              </w:rPr>
            </w:pPr>
            <w:r>
              <w:t xml:space="preserve">- федерального бюджета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widowControl w:val="0"/>
              <w:ind/>
              <w:rPr>
                <w:sz w:val="24"/>
              </w:rPr>
            </w:pPr>
            <w:r>
              <w:t>внебюджетные источники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widowControl w:val="0"/>
              <w:ind/>
              <w:rPr>
                <w:sz w:val="24"/>
              </w:rPr>
            </w:pPr>
            <w:r>
              <w:t xml:space="preserve">всего            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</w:tbl>
    <w:p w14:paraId="C0010000">
      <w:pPr>
        <w:rPr>
          <w:sz w:val="28"/>
        </w:rPr>
      </w:pPr>
    </w:p>
    <w:p w14:paraId="C1010000">
      <w:pPr>
        <w:rPr>
          <w:sz w:val="28"/>
        </w:rPr>
      </w:pPr>
    </w:p>
    <w:p w14:paraId="C2010000">
      <w:pPr>
        <w:rPr>
          <w:sz w:val="28"/>
        </w:rPr>
      </w:pPr>
    </w:p>
    <w:p w14:paraId="C3010000">
      <w:pPr>
        <w:rPr>
          <w:sz w:val="28"/>
        </w:rPr>
      </w:pPr>
      <w:r>
        <w:rPr>
          <w:sz w:val="28"/>
        </w:rPr>
        <w:t>Глава Администрации</w:t>
      </w:r>
    </w:p>
    <w:p w14:paraId="C401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        </w:t>
      </w:r>
      <w:r>
        <w:rPr>
          <w:sz w:val="28"/>
        </w:rPr>
        <w:t>М.В.Качарова</w:t>
      </w:r>
    </w:p>
    <w:p w14:paraId="C5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C6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C7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C8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C9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CA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CB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CC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CD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CE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CF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0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1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2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3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4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5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6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7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8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9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A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B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C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D010000">
      <w:pPr>
        <w:pageBreakBefore w:val="1"/>
        <w:ind w:firstLine="0" w:left="10206"/>
        <w:jc w:val="center"/>
        <w:rPr>
          <w:color w:val="FF0000"/>
          <w:sz w:val="28"/>
        </w:rPr>
      </w:pPr>
    </w:p>
    <w:p w14:paraId="DE010000">
      <w:pPr>
        <w:pageBreakBefore w:val="1"/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№ 3 </w:t>
      </w:r>
    </w:p>
    <w:p w14:paraId="DF010000">
      <w:pPr>
        <w:ind w:firstLine="0"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E0010000">
      <w:pPr>
        <w:ind w:firstLine="0"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E1010000">
      <w:pPr>
        <w:ind w:firstLine="0" w:left="10206"/>
        <w:jc w:val="center"/>
        <w:rPr>
          <w:sz w:val="28"/>
          <w:highlight w:val="yellow"/>
        </w:rPr>
      </w:pPr>
      <w:r>
        <w:rPr>
          <w:sz w:val="28"/>
        </w:rPr>
        <w:t xml:space="preserve">  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 xml:space="preserve">» за </w:t>
      </w:r>
      <w:r>
        <w:rPr>
          <w:sz w:val="28"/>
        </w:rPr>
        <w:t>2021</w:t>
      </w:r>
      <w:r>
        <w:rPr>
          <w:sz w:val="28"/>
        </w:rPr>
        <w:t xml:space="preserve"> год</w:t>
      </w:r>
    </w:p>
    <w:p w14:paraId="E2010000">
      <w:pPr>
        <w:ind w:firstLine="0" w:left="10206"/>
        <w:jc w:val="center"/>
        <w:rPr>
          <w:sz w:val="28"/>
          <w:highlight w:val="yellow"/>
        </w:rPr>
      </w:pPr>
    </w:p>
    <w:p w14:paraId="E3010000">
      <w:pPr>
        <w:tabs>
          <w:tab w:leader="none" w:pos="11088" w:val="left"/>
        </w:tabs>
        <w:ind/>
        <w:jc w:val="right"/>
        <w:rPr>
          <w:sz w:val="24"/>
          <w:highlight w:val="yellow"/>
        </w:rPr>
      </w:pPr>
    </w:p>
    <w:p w14:paraId="E401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 о достижении значений показателей (индикаторов)</w:t>
      </w:r>
    </w:p>
    <w:p w14:paraId="E501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739"/>
        <w:gridCol w:w="3077"/>
        <w:gridCol w:w="1400"/>
        <w:gridCol w:w="2122"/>
        <w:gridCol w:w="1080"/>
        <w:gridCol w:w="1994"/>
        <w:gridCol w:w="3393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индикатор)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E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5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программы,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муниципальной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3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год,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предшествующий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отчетному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"Par1462"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&lt;1&gt;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07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3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3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380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«Энергоэффективность и развитие </w:t>
            </w:r>
            <w:r>
              <w:rPr>
                <w:sz w:val="24"/>
              </w:rPr>
              <w:t xml:space="preserve">энергетики»   </w:t>
            </w:r>
            <w:r>
              <w:rPr>
                <w:sz w:val="24"/>
              </w:rPr>
              <w:t xml:space="preserve">                                      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rPr>
                <w:sz w:val="24"/>
              </w:rPr>
            </w:pPr>
            <w:r>
              <w:rPr>
                <w:sz w:val="24"/>
              </w:rPr>
              <w:t>Доля фактически освещенных улиц в общей протяженности улиц населенных пунктов муниципального образования «</w:t>
            </w:r>
            <w:r>
              <w:rPr>
                <w:sz w:val="24"/>
              </w:rPr>
              <w:t>Лопанское</w:t>
            </w:r>
            <w:r>
              <w:rPr>
                <w:sz w:val="24"/>
              </w:rPr>
              <w:t xml:space="preserve"> сельское поселение»;</w:t>
            </w:r>
          </w:p>
          <w:p w14:paraId="FA010000">
            <w:pPr>
              <w:rPr>
                <w:sz w:val="24"/>
              </w:rPr>
            </w:pP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1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86,95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91,3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91,0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rPr>
                <w:sz w:val="24"/>
              </w:rPr>
            </w:pPr>
            <w:r>
              <w:rPr>
                <w:sz w:val="24"/>
              </w:rPr>
              <w:t xml:space="preserve">- Уровень газификации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>поеления</w:t>
            </w:r>
            <w:r>
              <w:rPr>
                <w:sz w:val="24"/>
              </w:rPr>
              <w:t>;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1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80,3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82,4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80,3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- Количество согласованных отчетов об исполнении плана реализации муниципальной программы.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type="dxa" w:w="21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1380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t xml:space="preserve"> </w:t>
            </w:r>
            <w:r>
              <w:rPr>
                <w:sz w:val="24"/>
              </w:rPr>
              <w:t>«Развитие и модернизация электрических сетей, включая сети уличного освещения»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rPr>
                <w:sz w:val="24"/>
              </w:rPr>
            </w:pPr>
            <w:r>
              <w:rPr>
                <w:sz w:val="24"/>
              </w:rPr>
              <w:t xml:space="preserve">Доля объема электрической энергии (далее – ЭЭ), </w:t>
            </w:r>
            <w:r>
              <w:rPr>
                <w:sz w:val="24"/>
              </w:rPr>
              <w:t xml:space="preserve">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территории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>поеления</w:t>
            </w:r>
          </w:p>
          <w:p w14:paraId="11020000">
            <w:pPr>
              <w:rPr>
                <w:sz w:val="24"/>
              </w:rPr>
            </w:pP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1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t xml:space="preserve">-Доля объема горячей воды, потребляемой БУ, расчеты за потребление которой осуществляются на основании показаний приборов учета, в общем объеме горячей воды, потребляемой БУ на территории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>поеления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1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-Доля объема природного газа, потребляемого БУ, расчеты за потребление которого осуществляются на основании показаний приборов учета, в общем объеме природного газа, потребляемого БУ на территории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>поеления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1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- Объем ЭЭ, потребленный БУ, расчеты за потребление которой осуществляются на основании показаний приборов учета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Тыс.к</w:t>
            </w:r>
            <w:r>
              <w:rPr>
                <w:sz w:val="24"/>
              </w:rPr>
              <w:t>Вт</w:t>
            </w:r>
            <w:r>
              <w:rPr>
                <w:sz w:val="24"/>
              </w:rPr>
              <w:t>/ч</w:t>
            </w:r>
          </w:p>
        </w:tc>
        <w:tc>
          <w:tcPr>
            <w:tcW w:type="dxa" w:w="21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14,3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color w:val="000000"/>
                <w:sz w:val="24"/>
              </w:rPr>
              <w:t xml:space="preserve">ложилась экономия, в результате экономного </w:t>
            </w:r>
            <w:r>
              <w:rPr>
                <w:color w:val="000000"/>
                <w:sz w:val="24"/>
              </w:rPr>
              <w:t>использования электричества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- Объем природного газа, потребленный БУ, расчеты </w:t>
            </w:r>
            <w:r>
              <w:rPr>
                <w:sz w:val="24"/>
              </w:rPr>
              <w:t>за потребление которого осуществляются на основании показаний приборов учета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Тыс.м3</w:t>
            </w:r>
          </w:p>
        </w:tc>
        <w:tc>
          <w:tcPr>
            <w:tcW w:type="dxa" w:w="21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38,06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color w:val="000000"/>
                <w:sz w:val="24"/>
              </w:rPr>
              <w:t xml:space="preserve">ложилась экономия, в результате экономного </w:t>
            </w:r>
            <w:r>
              <w:rPr>
                <w:color w:val="000000"/>
                <w:sz w:val="24"/>
              </w:rPr>
              <w:t>использования газа</w:t>
            </w:r>
          </w:p>
        </w:tc>
      </w:tr>
      <w:tr>
        <w:tc>
          <w:tcPr>
            <w:tcW w:type="dxa" w:w="1380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2.</w:t>
            </w:r>
            <w:r>
              <w:t xml:space="preserve"> </w:t>
            </w:r>
            <w:r>
              <w:rPr>
                <w:sz w:val="24"/>
              </w:rPr>
              <w:t>«Развитие и модернизация электрических сетей, включая сети уличного освещения»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widowControl w:val="0"/>
              <w:ind/>
              <w:rPr>
                <w:sz w:val="24"/>
              </w:rPr>
            </w:pPr>
            <w:r>
              <w:t xml:space="preserve"> Количество разработанной проектно-сметной документации на реконструкцию и капитальный ремонт объектов электрических сетей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type="dxa" w:w="21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widowControl w:val="0"/>
              <w:ind/>
              <w:rPr>
                <w:color w:val="000000"/>
                <w:sz w:val="24"/>
              </w:rPr>
            </w:pPr>
            <w:r>
              <w:t>Н</w:t>
            </w:r>
            <w:r>
              <w:rPr>
                <w:color w:val="000000"/>
              </w:rPr>
              <w:t>е выделены денежные средства на проектно-сметную документацию, на реконструкцию и капитальный ремонт объектов электрических сетей в связи с отсутствием необходимости</w:t>
            </w:r>
          </w:p>
        </w:tc>
      </w:tr>
      <w:tr>
        <w:trPr>
          <w:trHeight w:hRule="atLeast" w:val="906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widowControl w:val="0"/>
              <w:ind/>
              <w:rPr>
                <w:sz w:val="24"/>
              </w:rPr>
            </w:pPr>
            <w:r>
              <w:t xml:space="preserve"> Протяженность реконструированных и восстановленных электрических сетей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Км.</w:t>
            </w:r>
          </w:p>
        </w:tc>
        <w:tc>
          <w:tcPr>
            <w:tcW w:type="dxa" w:w="21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widowControl w:val="0"/>
              <w:ind/>
              <w:rPr>
                <w:color w:val="FB290D"/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widowControl w:val="0"/>
              <w:ind/>
              <w:rPr>
                <w:sz w:val="24"/>
              </w:rPr>
            </w:pPr>
            <w:r>
              <w:t xml:space="preserve">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type="dxa" w:w="21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widowControl w:val="0"/>
              <w:ind/>
              <w:rPr>
                <w:color w:val="FB290D"/>
                <w:sz w:val="24"/>
              </w:rPr>
            </w:pPr>
          </w:p>
        </w:tc>
      </w:tr>
    </w:tbl>
    <w:p w14:paraId="49020000">
      <w:pPr>
        <w:widowControl w:val="0"/>
        <w:ind w:firstLine="540" w:left="0"/>
        <w:jc w:val="both"/>
        <w:rPr>
          <w:sz w:val="24"/>
        </w:rPr>
      </w:pPr>
      <w:bookmarkStart w:id="52" w:name="Par1462"/>
      <w:bookmarkEnd w:id="52"/>
    </w:p>
    <w:p w14:paraId="4A020000">
      <w:pPr>
        <w:widowControl w:val="0"/>
        <w:ind w:firstLine="540" w:left="0"/>
        <w:jc w:val="both"/>
        <w:rPr>
          <w:sz w:val="24"/>
        </w:rPr>
      </w:pPr>
      <w:r>
        <w:rPr>
          <w:sz w:val="24"/>
        </w:rPr>
        <w:t>&lt;1&gt; Приводится фактическое значение индикатора или показателя за год, предшествующий отчетному.</w:t>
      </w:r>
    </w:p>
    <w:p w14:paraId="4B020000">
      <w:pPr>
        <w:widowControl w:val="0"/>
        <w:ind w:firstLine="540" w:left="0"/>
        <w:jc w:val="both"/>
        <w:rPr>
          <w:sz w:val="24"/>
        </w:rPr>
      </w:pPr>
    </w:p>
    <w:p w14:paraId="4C020000">
      <w:pPr>
        <w:widowControl w:val="0"/>
        <w:ind w:firstLine="540" w:left="0"/>
        <w:jc w:val="both"/>
        <w:rPr>
          <w:sz w:val="24"/>
        </w:rPr>
      </w:pPr>
    </w:p>
    <w:p w14:paraId="4D020000">
      <w:pPr>
        <w:widowControl w:val="0"/>
        <w:ind w:firstLine="540" w:left="0"/>
        <w:jc w:val="both"/>
        <w:rPr>
          <w:sz w:val="24"/>
        </w:rPr>
      </w:pPr>
    </w:p>
    <w:p w14:paraId="4E020000">
      <w:pPr>
        <w:widowControl w:val="0"/>
        <w:ind w:firstLine="540" w:left="0"/>
        <w:jc w:val="both"/>
        <w:rPr>
          <w:sz w:val="24"/>
        </w:rPr>
      </w:pPr>
    </w:p>
    <w:p w14:paraId="4F02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5002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           </w:t>
      </w:r>
      <w:r>
        <w:rPr>
          <w:sz w:val="28"/>
        </w:rPr>
        <w:t>М.В.Качарова</w:t>
      </w:r>
    </w:p>
    <w:sectPr>
      <w:footerReference r:id="rId1" w:type="default"/>
      <w:pgSz w:h="11907" w:orient="landscape" w:w="16840"/>
      <w:pgMar w:bottom="284" w:footer="720" w:gutter="0" w:header="720" w:left="1134" w:right="709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Body Text 2"/>
    <w:basedOn w:val="Style_7"/>
    <w:link w:val="Style_8_ch"/>
    <w:pPr>
      <w:spacing w:after="120" w:line="480" w:lineRule="auto"/>
      <w:ind/>
    </w:pPr>
    <w:rPr>
      <w:sz w:val="24"/>
    </w:rPr>
  </w:style>
  <w:style w:styleId="Style_8_ch" w:type="character">
    <w:name w:val="Body Text 2"/>
    <w:basedOn w:val="Style_7_ch"/>
    <w:link w:val="Style_8"/>
    <w:rPr>
      <w:sz w:val="24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Postan"/>
    <w:basedOn w:val="Style_7"/>
    <w:link w:val="Style_13_ch"/>
    <w:pPr>
      <w:ind/>
      <w:jc w:val="center"/>
    </w:pPr>
    <w:rPr>
      <w:sz w:val="28"/>
    </w:rPr>
  </w:style>
  <w:style w:styleId="Style_13_ch" w:type="character">
    <w:name w:val="Postan"/>
    <w:basedOn w:val="Style_7_ch"/>
    <w:link w:val="Style_13"/>
    <w:rPr>
      <w:sz w:val="28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Основной текст2"/>
    <w:basedOn w:val="Style_7"/>
    <w:link w:val="Style_16_ch"/>
    <w:pPr>
      <w:widowControl w:val="0"/>
      <w:spacing w:line="322" w:lineRule="exact"/>
      <w:ind w:firstLine="720" w:left="0"/>
      <w:jc w:val="both"/>
    </w:pPr>
    <w:rPr>
      <w:spacing w:val="-2"/>
      <w:sz w:val="26"/>
    </w:rPr>
  </w:style>
  <w:style w:styleId="Style_16_ch" w:type="character">
    <w:name w:val="Основной текст2"/>
    <w:basedOn w:val="Style_7_ch"/>
    <w:link w:val="Style_16"/>
    <w:rPr>
      <w:spacing w:val="-2"/>
      <w:sz w:val="26"/>
    </w:rPr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Обычный + 14 пт"/>
    <w:basedOn w:val="Style_7"/>
    <w:link w:val="Style_18_ch"/>
    <w:rPr>
      <w:sz w:val="28"/>
    </w:rPr>
  </w:style>
  <w:style w:styleId="Style_18_ch" w:type="character">
    <w:name w:val="Обычный + 14 пт"/>
    <w:basedOn w:val="Style_7_ch"/>
    <w:link w:val="Style_18"/>
    <w:rPr>
      <w:sz w:val="28"/>
    </w:rPr>
  </w:style>
  <w:style w:styleId="Style_19" w:type="paragraph">
    <w:name w:val="Balloon Text"/>
    <w:basedOn w:val="Style_7"/>
    <w:link w:val="Style_19_ch"/>
    <w:rPr>
      <w:rFonts w:ascii="Tahoma" w:hAnsi="Tahoma"/>
      <w:sz w:val="16"/>
    </w:rPr>
  </w:style>
  <w:style w:styleId="Style_19_ch" w:type="character">
    <w:name w:val="Balloon Text"/>
    <w:basedOn w:val="Style_7_ch"/>
    <w:link w:val="Style_19"/>
    <w:rPr>
      <w:rFonts w:ascii="Tahoma" w:hAnsi="Tahoma"/>
      <w:sz w:val="16"/>
    </w:rPr>
  </w:style>
  <w:style w:styleId="Style_20" w:type="paragraph">
    <w:name w:val="ConsPlusDocLis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DocList"/>
    <w:link w:val="Style_20"/>
    <w:rPr>
      <w:rFonts w:ascii="Courier New" w:hAnsi="Courier New"/>
    </w:rPr>
  </w:style>
  <w:style w:styleId="Style_21" w:type="paragraph">
    <w:name w:val="heading 5"/>
    <w:basedOn w:val="Style_7"/>
    <w:next w:val="Style_7"/>
    <w:link w:val="Style_21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1_ch" w:type="character">
    <w:name w:val="heading 5"/>
    <w:basedOn w:val="Style_7_ch"/>
    <w:link w:val="Style_21"/>
    <w:rPr>
      <w:b w:val="1"/>
      <w:i w:val="1"/>
      <w:sz w:val="26"/>
    </w:rPr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2_ch" w:type="character">
    <w:name w:val="heading 1"/>
    <w:basedOn w:val="Style_7_ch"/>
    <w:link w:val="Style_22"/>
    <w:rPr>
      <w:rFonts w:ascii="AG Souvenir" w:hAnsi="AG Souvenir"/>
      <w:b w:val="1"/>
      <w:spacing w:val="38"/>
      <w:sz w:val="28"/>
    </w:rPr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FollowedHyperlink"/>
    <w:link w:val="Style_24_ch"/>
    <w:rPr>
      <w:color w:val="800080"/>
      <w:u w:val="single"/>
    </w:rPr>
  </w:style>
  <w:style w:styleId="Style_24_ch" w:type="character">
    <w:name w:val="FollowedHyperlink"/>
    <w:link w:val="Style_24"/>
    <w:rPr>
      <w:color w:val="800080"/>
      <w:u w:val="single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7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9" w:type="paragraph">
    <w:name w:val="toc 9"/>
    <w:next w:val="Style_7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Body Text Indent"/>
    <w:basedOn w:val="Style_7"/>
    <w:link w:val="Style_30_ch"/>
    <w:pPr>
      <w:ind w:firstLine="709" w:left="0"/>
      <w:jc w:val="both"/>
    </w:pPr>
    <w:rPr>
      <w:sz w:val="28"/>
    </w:rPr>
  </w:style>
  <w:style w:styleId="Style_30_ch" w:type="character">
    <w:name w:val="Body Text Indent"/>
    <w:basedOn w:val="Style_7_ch"/>
    <w:link w:val="Style_30"/>
    <w:rPr>
      <w:sz w:val="28"/>
    </w:rPr>
  </w:style>
  <w:style w:styleId="Style_31" w:type="paragraph">
    <w:name w:val="toc 8"/>
    <w:next w:val="Style_7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header"/>
    <w:basedOn w:val="Style_7"/>
    <w:link w:val="Style_32_ch"/>
    <w:pPr>
      <w:tabs>
        <w:tab w:leader="none" w:pos="4153" w:val="center"/>
        <w:tab w:leader="none" w:pos="8306" w:val="right"/>
      </w:tabs>
      <w:ind/>
    </w:pPr>
  </w:style>
  <w:style w:styleId="Style_32_ch" w:type="character">
    <w:name w:val="header"/>
    <w:basedOn w:val="Style_7_ch"/>
    <w:link w:val="Style_32"/>
  </w:style>
  <w:style w:styleId="Style_3" w:type="paragraph">
    <w:name w:val="ConsPlusTitle"/>
    <w:link w:val="Style_3_ch"/>
    <w:pPr>
      <w:widowControl w:val="0"/>
      <w:ind/>
    </w:pPr>
    <w:rPr>
      <w:b w:val="1"/>
      <w:sz w:val="24"/>
    </w:rPr>
  </w:style>
  <w:style w:styleId="Style_3_ch" w:type="character">
    <w:name w:val="ConsPlusTitle"/>
    <w:link w:val="Style_3"/>
    <w:rPr>
      <w:b w:val="1"/>
      <w:sz w:val="24"/>
    </w:rPr>
  </w:style>
  <w:style w:styleId="Style_33" w:type="paragraph">
    <w:name w:val="Знак1"/>
    <w:basedOn w:val="Style_7"/>
    <w:link w:val="Style_33_ch"/>
    <w:pPr>
      <w:spacing w:afterAutospacing="on" w:beforeAutospacing="on"/>
      <w:ind/>
    </w:pPr>
    <w:rPr>
      <w:rFonts w:ascii="Tahoma" w:hAnsi="Tahoma"/>
    </w:rPr>
  </w:style>
  <w:style w:styleId="Style_33_ch" w:type="character">
    <w:name w:val="Знак1"/>
    <w:basedOn w:val="Style_7_ch"/>
    <w:link w:val="Style_33"/>
    <w:rPr>
      <w:rFonts w:ascii="Tahoma" w:hAnsi="Tahoma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Body Text Indent 3"/>
    <w:basedOn w:val="Style_7"/>
    <w:link w:val="Style_35_ch"/>
    <w:pPr>
      <w:spacing w:after="120"/>
      <w:ind w:firstLine="0" w:left="283"/>
    </w:pPr>
    <w:rPr>
      <w:sz w:val="16"/>
    </w:rPr>
  </w:style>
  <w:style w:styleId="Style_35_ch" w:type="character">
    <w:name w:val="Body Text Indent 3"/>
    <w:basedOn w:val="Style_7_ch"/>
    <w:link w:val="Style_35"/>
    <w:rPr>
      <w:sz w:val="16"/>
    </w:rPr>
  </w:style>
  <w:style w:styleId="Style_36" w:type="paragraph">
    <w:name w:val="toc 5"/>
    <w:next w:val="Style_7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6" w:type="paragraph">
    <w:name w:val="ConsPlusCel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Cell"/>
    <w:link w:val="Style_6"/>
    <w:rPr>
      <w:rFonts w:ascii="Arial" w:hAnsi="Arial"/>
    </w:rPr>
  </w:style>
  <w:style w:styleId="Style_37" w:type="paragraph">
    <w:name w:val="Body Text"/>
    <w:basedOn w:val="Style_7"/>
    <w:link w:val="Style_37_ch"/>
    <w:rPr>
      <w:sz w:val="28"/>
    </w:rPr>
  </w:style>
  <w:style w:styleId="Style_37_ch" w:type="character">
    <w:name w:val="Body Text"/>
    <w:basedOn w:val="Style_7_ch"/>
    <w:link w:val="Style_37"/>
    <w:rPr>
      <w:sz w:val="28"/>
    </w:rPr>
  </w:style>
  <w:style w:styleId="Style_38" w:type="paragraph">
    <w:name w:val="Subtitle"/>
    <w:next w:val="Style_7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7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7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7"/>
    <w:next w:val="Style_7"/>
    <w:link w:val="Style_41_ch"/>
    <w:uiPriority w:val="9"/>
    <w:qFormat/>
    <w:pPr>
      <w:keepNext w:val="1"/>
      <w:ind w:firstLine="0" w:left="709"/>
      <w:outlineLvl w:val="1"/>
    </w:pPr>
    <w:rPr>
      <w:sz w:val="28"/>
    </w:rPr>
  </w:style>
  <w:style w:styleId="Style_41_ch" w:type="character">
    <w:name w:val="heading 2"/>
    <w:basedOn w:val="Style_7_ch"/>
    <w:link w:val="Style_41"/>
    <w:rPr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2022-06-03T11:16:38Z</dcterms:modified>
</cp:coreProperties>
</file>