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</w:t>
      </w:r>
      <w:r>
        <w:rPr>
          <w:rFonts w:ascii="Times New Roman" w:hAnsi="Times New Roman"/>
          <w:sz w:val="28"/>
        </w:rPr>
        <w:t>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11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1 к постановлению.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Приложения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Перечень </w:t>
      </w:r>
      <w:r>
        <w:rPr>
          <w:rFonts w:ascii="Times New Roman" w:hAnsi="Times New Roman"/>
          <w:sz w:val="28"/>
        </w:rPr>
        <w:t>инвестиционных проектов (объектов капитального строительства, реко</w:t>
      </w:r>
      <w:r>
        <w:rPr>
          <w:rFonts w:ascii="Times New Roman" w:hAnsi="Times New Roman"/>
          <w:sz w:val="28"/>
        </w:rPr>
        <w:t>нструкции, капитального ремонта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) изложить согласно Приложению № 4 к настоящему постановлению.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4.Контроль за выполнением постановления оставляю за собой.</w:t>
      </w:r>
    </w:p>
    <w:p w14:paraId="14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Приложение №1</w:t>
      </w:r>
    </w:p>
    <w:p w14:paraId="1C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1D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14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58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1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3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5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8000000">
            <w:pPr>
              <w:spacing w:after="0" w:line="276" w:lineRule="auto"/>
              <w:ind/>
              <w:jc w:val="both"/>
            </w:pPr>
          </w:p>
          <w:p w14:paraId="49000000">
            <w:pPr>
              <w:spacing w:after="0" w:line="276" w:lineRule="auto"/>
              <w:ind/>
              <w:jc w:val="both"/>
            </w:pPr>
          </w:p>
          <w:p w14:paraId="4A000000">
            <w:pPr>
              <w:spacing w:after="0" w:line="276" w:lineRule="auto"/>
              <w:ind/>
              <w:jc w:val="both"/>
            </w:pP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DD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D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поселения; </w:t>
            </w: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r>
              <w:rPr>
                <w:rFonts w:ascii="Times New Roman" w:hAnsi="Times New Roman"/>
                <w:sz w:val="28"/>
              </w:rPr>
              <w:t>по современному</w:t>
            </w:r>
            <w:r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F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24719,2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4301,3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1561,2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  <w:bookmarkEnd w:id="8"/>
            <w:bookmarkEnd w:id="9"/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727,9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24719,2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4301,3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r>
              <w:rPr>
                <w:rFonts w:ascii="Times New Roman" w:hAnsi="Times New Roman"/>
                <w:sz w:val="28"/>
              </w:rPr>
              <w:t>-  0</w:t>
            </w:r>
            <w:r>
              <w:rPr>
                <w:rFonts w:ascii="Times New Roman" w:hAnsi="Times New Roman"/>
                <w:sz w:val="28"/>
              </w:rPr>
              <w:t xml:space="preserve">,0 тыс. рублей. </w:t>
            </w:r>
            <w:bookmarkEnd w:id="4"/>
            <w:bookmarkEnd w:id="5"/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r>
              <w:rPr>
                <w:rFonts w:ascii="Times New Roman" w:hAnsi="Times New Roman"/>
                <w:sz w:val="28"/>
              </w:rPr>
              <w:t>из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r>
              <w:rPr>
                <w:rFonts w:ascii="Times New Roman" w:hAnsi="Times New Roman"/>
                <w:sz w:val="28"/>
              </w:rPr>
              <w:t>поселения.</w:t>
            </w:r>
            <w:r>
              <w:rPr>
                <w:rFonts w:ascii="Times New Roman" w:hAnsi="Times New Roman"/>
                <w:sz w:val="28"/>
              </w:rPr>
              <w:t>Объемы</w:t>
            </w:r>
            <w:r>
              <w:rPr>
                <w:rFonts w:ascii="Times New Roman" w:hAnsi="Times New Roman"/>
                <w:sz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1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2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3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4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5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2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A010000">
            <w:pPr>
              <w:spacing w:after="0" w:line="276" w:lineRule="auto"/>
              <w:ind/>
              <w:jc w:val="both"/>
            </w:pPr>
          </w:p>
          <w:p w14:paraId="3B010000">
            <w:pPr>
              <w:spacing w:after="0" w:line="276" w:lineRule="auto"/>
              <w:ind/>
              <w:jc w:val="both"/>
            </w:pPr>
          </w:p>
          <w:p w14:paraId="3C010000">
            <w:pPr>
              <w:spacing w:after="0" w:line="276" w:lineRule="auto"/>
              <w:ind/>
              <w:jc w:val="both"/>
            </w:pP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E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A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0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B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B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24719,2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4301,3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>24719,2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4301,3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D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5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6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7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8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A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B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t xml:space="preserve">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C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E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2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5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6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F701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F8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F9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14.06.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58</w:t>
      </w:r>
    </w:p>
    <w:p w14:paraId="FA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B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реализацию</w:t>
      </w:r>
      <w:r>
        <w:rPr>
          <w:rFonts w:ascii="Times New Roman" w:hAnsi="Times New Roman"/>
          <w:sz w:val="28"/>
        </w:rPr>
        <w:t xml:space="preserve"> муниципальной </w:t>
      </w:r>
      <w:r>
        <w:rPr>
          <w:rFonts w:ascii="Times New Roman" w:hAnsi="Times New Roman"/>
          <w:sz w:val="28"/>
        </w:rPr>
        <w:t xml:space="preserve">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714"/>
        <w:gridCol w:w="714"/>
        <w:gridCol w:w="714"/>
        <w:gridCol w:w="714"/>
        <w:gridCol w:w="714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6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24719,2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4301,3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3F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r>
              <w:t>22719,2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1564,5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4301,3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</w:t>
            </w: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8609,1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760,8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r>
              <w:t>512,9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3401,1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412,8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211,3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88,3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202,6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r>
              <w:t>105,8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107,0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</w:t>
            </w:r>
            <w:r>
              <w:rPr>
                <w:rFonts w:ascii="Times New Roman" w:hAnsi="Times New Roman"/>
                <w:color w:val="000000"/>
                <w:sz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 по благоустройству»</w:t>
            </w:r>
          </w:p>
          <w:p w14:paraId="98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10120,7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2835,9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108,0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B020000">
      <w:pPr>
        <w:spacing w:line="100" w:lineRule="atLeast"/>
        <w:ind/>
        <w:rPr>
          <w:sz w:val="28"/>
        </w:rPr>
      </w:pPr>
    </w:p>
    <w:p w14:paraId="AC020000">
      <w:pPr>
        <w:spacing w:line="100" w:lineRule="atLeast"/>
        <w:ind/>
        <w:rPr>
          <w:sz w:val="28"/>
        </w:rPr>
      </w:pPr>
    </w:p>
    <w:p w14:paraId="AD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AE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AF020000">
      <w:pPr>
        <w:sectPr>
          <w:pgSz w:h="11906" w:orient="landscape" w:w="16838"/>
          <w:pgMar w:bottom="1701" w:footer="709" w:gutter="0" w:header="709" w:left="1134" w:right="1134" w:top="851"/>
        </w:sectPr>
      </w:pPr>
    </w:p>
    <w:p w14:paraId="B002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B1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B202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B3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B4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58</w:t>
      </w:r>
    </w:p>
    <w:p w14:paraId="B5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6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C02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24719,2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4301,3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24719,2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4301,3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24719,2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4301,3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24719,2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4301,3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</w:tbl>
    <w:p w14:paraId="88030000">
      <w:pPr>
        <w:spacing w:line="100" w:lineRule="atLeast"/>
        <w:ind/>
        <w:rPr>
          <w:sz w:val="28"/>
        </w:rPr>
      </w:pPr>
    </w:p>
    <w:p w14:paraId="89030000">
      <w:pPr>
        <w:spacing w:line="100" w:lineRule="atLeast"/>
        <w:ind/>
        <w:rPr>
          <w:sz w:val="28"/>
        </w:rPr>
      </w:pPr>
    </w:p>
    <w:p w14:paraId="8A030000">
      <w:pPr>
        <w:spacing w:line="100" w:lineRule="atLeast"/>
        <w:ind/>
        <w:rPr>
          <w:sz w:val="28"/>
        </w:rPr>
      </w:pPr>
    </w:p>
    <w:p w14:paraId="8B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Администрации </w:t>
      </w:r>
    </w:p>
    <w:p w14:paraId="8C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8D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</w:p>
    <w:p w14:paraId="8E030000">
      <w:pPr>
        <w:widowControl w:val="0"/>
        <w:ind/>
        <w:jc w:val="right"/>
        <w:outlineLvl w:val="2"/>
        <w:rPr>
          <w:sz w:val="24"/>
        </w:rPr>
      </w:pPr>
    </w:p>
    <w:p w14:paraId="8F03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№4</w:t>
      </w:r>
    </w:p>
    <w:p w14:paraId="9003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Администрации</w:t>
      </w:r>
    </w:p>
    <w:p w14:paraId="91030000">
      <w:pPr>
        <w:spacing w:after="0" w:line="240" w:lineRule="auto"/>
        <w:ind w:hanging="425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92030000">
      <w:pPr>
        <w:spacing w:after="0" w:line="240" w:lineRule="auto"/>
        <w:ind w:hanging="425" w:left="6237"/>
        <w:jc w:val="right"/>
        <w:rPr>
          <w:rFonts w:ascii="Times New Roman" w:hAnsi="Times New Roman"/>
          <w:sz w:val="28"/>
        </w:rPr>
      </w:pPr>
    </w:p>
    <w:p w14:paraId="93030000">
      <w:pPr>
        <w:spacing w:after="0" w:line="240" w:lineRule="auto"/>
        <w:ind w:hanging="425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58</w:t>
      </w:r>
    </w:p>
    <w:p w14:paraId="9403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9503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инвестиционных проектов (объектов капитального строительства, реко</w:t>
      </w:r>
      <w:r>
        <w:rPr>
          <w:rFonts w:ascii="Times New Roman" w:hAnsi="Times New Roman"/>
          <w:sz w:val="28"/>
        </w:rPr>
        <w:t>нструкции, капитального ремонта</w:t>
      </w:r>
      <w:r>
        <w:rPr>
          <w:rFonts w:ascii="Times New Roman" w:hAnsi="Times New Roman"/>
          <w:sz w:val="28"/>
        </w:rPr>
        <w:t xml:space="preserve">, </w:t>
      </w:r>
    </w:p>
    <w:p w14:paraId="9603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)</w:t>
      </w:r>
    </w:p>
    <w:p w14:paraId="9703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tbl>
      <w:tblPr>
        <w:tblStyle w:val="Style_1"/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2"/>
        <w:gridCol w:w="1395"/>
        <w:gridCol w:w="1439"/>
        <w:gridCol w:w="1591"/>
        <w:gridCol w:w="985"/>
        <w:gridCol w:w="1509"/>
        <w:gridCol w:w="597"/>
        <w:gridCol w:w="961"/>
        <w:gridCol w:w="961"/>
        <w:gridCol w:w="959"/>
        <w:gridCol w:w="839"/>
        <w:gridCol w:w="842"/>
        <w:gridCol w:w="612"/>
        <w:gridCol w:w="169"/>
        <w:gridCol w:w="169"/>
      </w:tblGrid>
      <w:tr>
        <w:trPr>
          <w:trHeight w:hRule="atLeast" w:val="558"/>
        </w:trP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Наименование инвестицион</w:t>
            </w:r>
            <w:r>
              <w:rPr>
                <w:rFonts w:ascii="Times New Roman" w:hAnsi="Times New Roman"/>
                <w:sz w:val="28"/>
              </w:rPr>
              <w:t>ного проекта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исполнитель, соисполнитель, участник</w:t>
            </w: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дата положительного заключения государственной (не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государственной</w:t>
            </w:r>
            <w:r>
              <w:rPr>
                <w:rFonts w:ascii="Times New Roman" w:hAnsi="Times New Roman"/>
                <w:sz w:val="28"/>
              </w:rPr>
              <w:t>) экспертизы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&lt;1</w:t>
            </w:r>
            <w:r>
              <w:rPr>
                <w:rFonts w:ascii="Times New Roman" w:hAnsi="Times New Roman"/>
                <w:sz w:val="28"/>
              </w:rPr>
              <w:t>&gt;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type="dxa" w:w="1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Сметная стоимость в ценах соответствующих лет на начало производства работ</w:t>
            </w:r>
          </w:p>
          <w:p w14:paraId="9E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руб.)</w:t>
            </w:r>
          </w:p>
        </w:tc>
        <w:tc>
          <w:tcPr>
            <w:tcW w:type="dxa" w:w="57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 годам реализации муниципальной программы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03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финансовый год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текущий финансовый год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очередной финансовый год</w:t>
            </w: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год планового периода </w:t>
            </w:r>
          </w:p>
        </w:tc>
        <w:tc>
          <w:tcPr>
            <w:tcW w:type="dxa" w:w="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второй год планового периода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52"/>
        </w:trPr>
        <w:tc>
          <w:tcPr>
            <w:tcW w:type="dxa" w:w="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4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72"/>
        </w:trP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программа: Благоустройство территории Лопанского сельского поселения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поселения(Главный специалист по ЖКХ)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3-16-1-0357-22 от 23.05.2022г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1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</w:t>
            </w:r>
            <w:r>
              <w:rPr>
                <w:rFonts w:ascii="Times New Roman" w:hAnsi="Times New Roman"/>
                <w:sz w:val="28"/>
              </w:rPr>
              <w:t xml:space="preserve"> бюджет,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6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1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бюджет,</w:t>
            </w: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30000">
            <w:pPr>
              <w:widowControl w:val="0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5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72"/>
        </w:trPr>
        <w:tc>
          <w:tcPr>
            <w:tcW w:type="dxa" w:w="422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3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>1:Повышение уровня внутреннего благоустройства территории поселения</w:t>
            </w:r>
          </w:p>
          <w:p w14:paraId="00040000">
            <w:pPr>
              <w:widowControl w:val="0"/>
              <w:ind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i w:val="1"/>
                <w:sz w:val="28"/>
              </w:rPr>
              <w:t>нвестиционный проект:</w:t>
            </w:r>
            <w:r>
              <w:rPr>
                <w:rFonts w:ascii="Times New Roman" w:hAnsi="Times New Roman"/>
                <w:b w:val="1"/>
                <w:i w:val="0"/>
                <w:sz w:val="28"/>
              </w:rPr>
              <w:t>Капитальный ремонт памятника ВОВ по адресу Ростовская область, Целинский район, с.Лопанка,ул.Молодежная 2г</w:t>
            </w:r>
          </w:p>
        </w:tc>
        <w:tc>
          <w:tcPr>
            <w:tcW w:type="dxa" w:w="143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1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поселения(Главный специалист по ЖКХ)</w:t>
            </w:r>
          </w:p>
        </w:tc>
        <w:tc>
          <w:tcPr>
            <w:tcW w:type="dxa" w:w="1591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3-16-1-0357-22 от 23.05.2022г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бюджет,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"/>
            <w:tcBorders>
              <w:lef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бюджет,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капитального строительства и реконструкции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бюджет,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бюджет,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8"/>
        </w:trP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капитального ремонта:</w:t>
            </w:r>
            <w:r>
              <w:rPr>
                <w:rFonts w:ascii="Times New Roman" w:hAnsi="Times New Roman"/>
                <w:b w:val="1"/>
                <w:i w:val="0"/>
                <w:sz w:val="28"/>
              </w:rPr>
              <w:t>Капитальный ремонт памятника ВОВ по адресу Ростовская область,Целинский район, с.Лопанка, ул.Молодежная 2г.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поселения(Главный специалист по ЖКХ)</w:t>
            </w: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3-16-1-0357-22 от 23.05.2022г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бюджет,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бюджет,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7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4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4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91040000">
      <w:pPr>
        <w:ind w:firstLine="0" w:left="-142"/>
        <w:jc w:val="center"/>
        <w:rPr>
          <w:rFonts w:ascii="Times New Roman" w:hAnsi="Times New Roman"/>
          <w:sz w:val="28"/>
        </w:rPr>
      </w:pPr>
    </w:p>
    <w:p w14:paraId="9204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9304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                                                        М.В.Качарова</w:t>
      </w:r>
    </w:p>
    <w:sectPr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ConsPlusCell"/>
    <w:link w:val="Style_17_ch"/>
    <w:rPr>
      <w:rFonts w:ascii="Times New Roman" w:hAnsi="Times New Roman"/>
      <w:sz w:val="28"/>
    </w:rPr>
  </w:style>
  <w:style w:styleId="Style_17_ch" w:type="character">
    <w:name w:val="ConsPlusCell"/>
    <w:link w:val="Style_17"/>
    <w:rPr>
      <w:rFonts w:ascii="Times New Roman" w:hAnsi="Times New Roman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2_ch"/>
    <w:link w:val="Style_20"/>
    <w:rPr>
      <w:rFonts w:ascii="Segoe UI" w:hAnsi="Segoe UI"/>
      <w:sz w:val="1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2022-06-16T07:32:30Z</dcterms:modified>
</cp:coreProperties>
</file>