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spacing w:line="322" w:lineRule="exact"/>
        <w:ind/>
        <w:jc w:val="center"/>
        <w:rPr>
          <w:b w:val="1"/>
          <w:sz w:val="20"/>
        </w:rPr>
      </w:pPr>
      <w:r>
        <w:rPr>
          <w:b w:val="1"/>
          <w:spacing w:val="-2"/>
          <w:sz w:val="28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Целинский район</w:t>
      </w:r>
    </w:p>
    <w:p w14:paraId="05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pacing w:val="40"/>
          <w:sz w:val="42"/>
        </w:rPr>
      </w:pPr>
      <w:r>
        <w:rPr>
          <w:b w:val="1"/>
        </w:rPr>
        <w:t>АДМИНИСТРАЦИЯ ЛОПАНСКОГО СЕЛЬСКОГО ПОСЕЛЕНИЯ</w:t>
      </w:r>
    </w:p>
    <w:p w14:paraId="09000000">
      <w:pPr>
        <w:spacing w:line="470" w:lineRule="exact"/>
        <w:ind w:right="710"/>
        <w:jc w:val="center"/>
        <w:rPr>
          <w:sz w:val="46"/>
        </w:rPr>
      </w:pPr>
    </w:p>
    <w:p w14:paraId="0A000000">
      <w:pPr>
        <w:spacing w:line="480" w:lineRule="auto"/>
        <w:ind/>
        <w:jc w:val="center"/>
        <w:rPr>
          <w:b w:val="1"/>
          <w:spacing w:val="50"/>
          <w:sz w:val="28"/>
        </w:rPr>
      </w:pPr>
      <w:r>
        <w:rPr>
          <w:sz w:val="28"/>
        </w:rPr>
        <w:t>ПОСТАНОВЛЕНИЕ</w:t>
      </w:r>
    </w:p>
    <w:p w14:paraId="0B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14.06.20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№ 61</w:t>
      </w:r>
      <w:r>
        <w:rPr>
          <w:sz w:val="28"/>
        </w:rPr>
        <w:t xml:space="preserve">    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  с. Лопанка</w:t>
      </w:r>
    </w:p>
    <w:p w14:paraId="0C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0D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Администрации Лопанского сельского поселения</w:t>
      </w:r>
    </w:p>
    <w:p w14:paraId="0E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от 30.12.2021 №140</w:t>
      </w:r>
    </w:p>
    <w:p w14:paraId="0F000000">
      <w:pPr>
        <w:rPr>
          <w:rFonts w:ascii="Times New Roman CYR" w:hAnsi="Times New Roman CYR"/>
          <w:sz w:val="28"/>
        </w:rPr>
      </w:pPr>
    </w:p>
    <w:p w14:paraId="10000000">
      <w:pPr>
        <w:rPr>
          <w:rFonts w:ascii="Times New Roman CYR" w:hAnsi="Times New Roman CYR"/>
          <w:sz w:val="28"/>
        </w:rPr>
      </w:pPr>
    </w:p>
    <w:p w14:paraId="11000000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 xml:space="preserve">Лопанского сельского поселения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года № </w:t>
      </w:r>
      <w:r>
        <w:rPr>
          <w:sz w:val="28"/>
        </w:rPr>
        <w:t>65 «Об утверждении Порядка</w:t>
      </w:r>
    </w:p>
    <w:p w14:paraId="12000000">
      <w:pPr>
        <w:rPr>
          <w:sz w:val="28"/>
        </w:rPr>
      </w:pPr>
      <w:r>
        <w:rPr>
          <w:sz w:val="28"/>
        </w:rPr>
        <w:t>разработки, реализации и оценки эффективности</w:t>
      </w:r>
      <w:r>
        <w:rPr>
          <w:sz w:val="28"/>
        </w:rPr>
        <w:t xml:space="preserve"> </w:t>
      </w:r>
      <w:r>
        <w:rPr>
          <w:sz w:val="28"/>
        </w:rPr>
        <w:t xml:space="preserve">муниципальных программ </w:t>
      </w:r>
    </w:p>
    <w:p w14:paraId="13000000">
      <w:pPr>
        <w:rPr>
          <w:sz w:val="28"/>
        </w:rPr>
      </w:pPr>
      <w:r>
        <w:rPr>
          <w:sz w:val="28"/>
        </w:rPr>
        <w:t>Лопанского сельского поселения</w:t>
      </w:r>
      <w:r>
        <w:rPr>
          <w:sz w:val="28"/>
        </w:rPr>
        <w:t>» и распоряжением Администрации Лопанского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20</w:t>
      </w:r>
      <w:r>
        <w:rPr>
          <w:sz w:val="28"/>
        </w:rPr>
        <w:t xml:space="preserve"> «Об утверждении Методическ</w:t>
      </w:r>
      <w:r>
        <w:rPr>
          <w:sz w:val="28"/>
        </w:rPr>
        <w:t>их</w:t>
      </w:r>
      <w:r>
        <w:rPr>
          <w:sz w:val="28"/>
        </w:rPr>
        <w:t xml:space="preserve"> р</w:t>
      </w:r>
      <w:r>
        <w:rPr>
          <w:sz w:val="28"/>
        </w:rPr>
        <w:t>екомендаций по разработке и реализации муниц</w:t>
      </w:r>
      <w:r>
        <w:rPr>
          <w:sz w:val="28"/>
        </w:rPr>
        <w:t>и</w:t>
      </w:r>
      <w:r>
        <w:rPr>
          <w:sz w:val="28"/>
        </w:rPr>
        <w:t>пальных программ Лопанского сельского поселения»,</w:t>
      </w:r>
      <w:r>
        <w:rPr>
          <w:sz w:val="28"/>
        </w:rPr>
        <w:t xml:space="preserve"> </w:t>
      </w:r>
      <w:r>
        <w:rPr>
          <w:sz w:val="28"/>
        </w:rPr>
        <w:t xml:space="preserve">с постановлением Администрации Лопанского сельского поселения от </w:t>
      </w:r>
      <w:r>
        <w:rPr>
          <w:sz w:val="28"/>
        </w:rPr>
        <w:t>14</w:t>
      </w:r>
      <w:r>
        <w:rPr>
          <w:sz w:val="28"/>
        </w:rPr>
        <w:t>.06</w:t>
      </w:r>
      <w:r>
        <w:rPr>
          <w:sz w:val="28"/>
        </w:rPr>
        <w:t>.20</w:t>
      </w:r>
      <w:r>
        <w:rPr>
          <w:sz w:val="28"/>
        </w:rPr>
        <w:t xml:space="preserve">22 </w:t>
      </w:r>
      <w:r>
        <w:rPr>
          <w:sz w:val="28"/>
        </w:rPr>
        <w:t>года № 57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 внесении изменений в постановление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Лопанского сельского поселения </w:t>
      </w:r>
      <w:r>
        <w:rPr>
          <w:sz w:val="28"/>
        </w:rPr>
        <w:t>от 03.12.2018 №171</w:t>
      </w:r>
      <w:r>
        <w:rPr>
          <w:sz w:val="28"/>
        </w:rPr>
        <w:t>»</w:t>
      </w:r>
      <w:r>
        <w:t xml:space="preserve"> </w:t>
      </w:r>
      <w:r>
        <w:rPr>
          <w:sz w:val="28"/>
        </w:rPr>
        <w:t>Администрация Лопанского сельского поселения,</w:t>
      </w:r>
    </w:p>
    <w:p w14:paraId="14000000">
      <w:pPr>
        <w:rPr>
          <w:sz w:val="28"/>
        </w:rPr>
      </w:pPr>
    </w:p>
    <w:p w14:paraId="15000000">
      <w:pPr>
        <w:ind w:firstLine="708" w:left="0"/>
        <w:rPr>
          <w:sz w:val="28"/>
        </w:rPr>
      </w:pPr>
      <w:r>
        <w:rPr>
          <w:sz w:val="28"/>
        </w:rPr>
        <w:t>п</w:t>
      </w:r>
      <w:r>
        <w:rPr>
          <w:sz w:val="28"/>
        </w:rPr>
        <w:t>остановля</w:t>
      </w:r>
      <w:r>
        <w:rPr>
          <w:sz w:val="28"/>
        </w:rPr>
        <w:t>ет:</w:t>
      </w:r>
    </w:p>
    <w:p w14:paraId="16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</w:t>
      </w:r>
      <w:r>
        <w:rPr>
          <w:rFonts w:ascii="Times New Roman CYR" w:hAnsi="Times New Roman CYR"/>
          <w:sz w:val="28"/>
        </w:rPr>
        <w:t xml:space="preserve">Внести изменения в постановление Администрации Лопанского сельского поселения от 30.12.2021 №140 </w:t>
      </w:r>
      <w:r>
        <w:rPr>
          <w:rFonts w:ascii="Times New Roman CYR" w:hAnsi="Times New Roman CYR"/>
          <w:sz w:val="28"/>
        </w:rPr>
        <w:t>«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 xml:space="preserve">б утверждении плана </w:t>
      </w:r>
      <w:r>
        <w:rPr>
          <w:rFonts w:ascii="Times New Roman CYR" w:hAnsi="Times New Roman CYR"/>
          <w:sz w:val="28"/>
        </w:rPr>
        <w:t>реализации муниципальной</w:t>
      </w:r>
    </w:p>
    <w:p w14:paraId="17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</w:t>
      </w:r>
      <w:r>
        <w:rPr>
          <w:rFonts w:ascii="Times New Roman CYR" w:hAnsi="Times New Roman CYR"/>
          <w:sz w:val="28"/>
        </w:rPr>
        <w:t xml:space="preserve">рограммы </w:t>
      </w:r>
      <w:r>
        <w:rPr>
          <w:rFonts w:ascii="Times New Roman CYR" w:hAnsi="Times New Roman CYR"/>
          <w:sz w:val="28"/>
        </w:rPr>
        <w:t>Лопанского селького поселения</w:t>
      </w:r>
      <w:r>
        <w:rPr>
          <w:rFonts w:ascii="Times New Roman CYR" w:hAnsi="Times New Roman CYR"/>
          <w:sz w:val="28"/>
        </w:rPr>
        <w:t xml:space="preserve"> «</w:t>
      </w:r>
      <w:r>
        <w:rPr>
          <w:sz w:val="28"/>
        </w:rPr>
        <w:t>Энергоэффективность и развитие энергетики</w:t>
      </w:r>
      <w:r>
        <w:rPr>
          <w:sz w:val="28"/>
        </w:rPr>
        <w:t xml:space="preserve">» </w:t>
      </w:r>
      <w:r>
        <w:rPr>
          <w:sz w:val="28"/>
        </w:rPr>
        <w:t>на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</w:t>
      </w:r>
      <w:r>
        <w:rPr>
          <w:rFonts w:ascii="Times New Roman CYR" w:hAnsi="Times New Roman CYR"/>
          <w:sz w:val="28"/>
        </w:rPr>
        <w:t>»</w:t>
      </w:r>
      <w:r>
        <w:rPr>
          <w:rFonts w:ascii="Times New Roman CYR" w:hAnsi="Times New Roman CYR"/>
          <w:sz w:val="28"/>
        </w:rPr>
        <w:t>:</w:t>
      </w:r>
    </w:p>
    <w:p w14:paraId="18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1.1.Приложение к постановлению изложить в редакции 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согласно приложению к настоящему </w:t>
      </w:r>
      <w:r>
        <w:rPr>
          <w:rFonts w:ascii="Times New Roman CYR" w:hAnsi="Times New Roman CYR"/>
          <w:sz w:val="28"/>
        </w:rPr>
        <w:t>постановлению</w:t>
      </w:r>
      <w:r>
        <w:rPr>
          <w:rFonts w:ascii="Times New Roman CYR" w:hAnsi="Times New Roman CYR"/>
          <w:sz w:val="28"/>
        </w:rPr>
        <w:t>.</w:t>
      </w:r>
    </w:p>
    <w:p w14:paraId="19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Настоящее </w:t>
      </w:r>
      <w:r>
        <w:rPr>
          <w:rFonts w:ascii="Times New Roman CYR" w:hAnsi="Times New Roman CYR"/>
          <w:sz w:val="28"/>
        </w:rPr>
        <w:t xml:space="preserve">постановление </w:t>
      </w:r>
      <w:r>
        <w:rPr>
          <w:rFonts w:ascii="Times New Roman CYR" w:hAnsi="Times New Roman CYR"/>
          <w:sz w:val="28"/>
        </w:rPr>
        <w:t>вступает в силу с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момента</w:t>
      </w:r>
      <w:r>
        <w:rPr>
          <w:rFonts w:ascii="Times New Roman CYR" w:hAnsi="Times New Roman CYR"/>
          <w:sz w:val="28"/>
        </w:rPr>
        <w:t xml:space="preserve"> подписания</w:t>
      </w:r>
      <w:r>
        <w:rPr>
          <w:rFonts w:ascii="Times New Roman CYR" w:hAnsi="Times New Roman CYR"/>
          <w:sz w:val="28"/>
        </w:rPr>
        <w:t>.</w:t>
      </w:r>
    </w:p>
    <w:p w14:paraId="1A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3. Контроль за исполнением </w:t>
      </w:r>
      <w:r>
        <w:rPr>
          <w:rFonts w:ascii="Times New Roman CYR" w:hAnsi="Times New Roman CYR"/>
          <w:sz w:val="28"/>
        </w:rPr>
        <w:t>постановле</w:t>
      </w:r>
      <w:r>
        <w:rPr>
          <w:rFonts w:ascii="Times New Roman CYR" w:hAnsi="Times New Roman CYR"/>
          <w:sz w:val="28"/>
        </w:rPr>
        <w:t>ни</w:t>
      </w:r>
      <w:r>
        <w:rPr>
          <w:rFonts w:ascii="Times New Roman CYR" w:hAnsi="Times New Roman CYR"/>
          <w:sz w:val="28"/>
        </w:rPr>
        <w:t>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ставляю за собой.</w:t>
      </w:r>
    </w:p>
    <w:p w14:paraId="1B000000">
      <w:pPr>
        <w:ind w:firstLine="708" w:left="0"/>
        <w:rPr>
          <w:sz w:val="28"/>
        </w:rPr>
      </w:pPr>
    </w:p>
    <w:p w14:paraId="1C000000">
      <w:pPr>
        <w:ind w:firstLine="708" w:left="0"/>
        <w:rPr>
          <w:sz w:val="28"/>
        </w:rPr>
      </w:pPr>
    </w:p>
    <w:p w14:paraId="1D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 xml:space="preserve"> Администрации </w:t>
      </w:r>
    </w:p>
    <w:p w14:paraId="1E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</w:t>
      </w:r>
      <w:r>
        <w:rPr>
          <w:rFonts w:ascii="Times New Roman CYR" w:hAnsi="Times New Roman CYR"/>
          <w:sz w:val="28"/>
        </w:rPr>
        <w:t>го</w:t>
      </w:r>
      <w:r>
        <w:rPr>
          <w:rFonts w:ascii="Times New Roman CYR" w:hAnsi="Times New Roman CYR"/>
          <w:sz w:val="28"/>
        </w:rPr>
        <w:t xml:space="preserve"> п</w:t>
      </w:r>
      <w:r>
        <w:rPr>
          <w:rFonts w:ascii="Times New Roman CYR" w:hAnsi="Times New Roman CYR"/>
          <w:sz w:val="28"/>
        </w:rPr>
        <w:t>оселения                                М.В.Качарова</w:t>
      </w:r>
    </w:p>
    <w:p w14:paraId="1F000000">
      <w:pPr>
        <w:ind/>
        <w:jc w:val="center"/>
        <w:rPr>
          <w:sz w:val="22"/>
        </w:rPr>
      </w:pPr>
    </w:p>
    <w:p w14:paraId="20000000">
      <w:pPr>
        <w:rPr>
          <w:sz w:val="22"/>
        </w:rPr>
      </w:pPr>
    </w:p>
    <w:p w14:paraId="21000000">
      <w:pPr>
        <w:ind/>
        <w:jc w:val="both"/>
        <w:rPr>
          <w:sz w:val="20"/>
        </w:rPr>
      </w:pPr>
      <w:r>
        <w:rPr>
          <w:sz w:val="20"/>
        </w:rPr>
        <w:t>Проект вносит</w:t>
      </w:r>
    </w:p>
    <w:p w14:paraId="22000000">
      <w:pPr>
        <w:ind/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14:paraId="23000000">
      <w:pPr>
        <w:ind/>
        <w:jc w:val="both"/>
        <w:rPr>
          <w:sz w:val="20"/>
        </w:rPr>
      </w:pPr>
      <w:r>
        <w:rPr>
          <w:sz w:val="20"/>
        </w:rPr>
        <w:t>М.А.Гимбатов</w:t>
      </w:r>
    </w:p>
    <w:p w14:paraId="24000000">
      <w:pPr>
        <w:sectPr>
          <w:pgSz w:h="16838" w:orient="portrait" w:w="11906"/>
          <w:pgMar w:bottom="1134" w:footer="709" w:gutter="0" w:header="709" w:left="1134" w:right="567" w:top="1134"/>
        </w:sectPr>
      </w:pPr>
    </w:p>
    <w:p w14:paraId="25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Приложение </w:t>
      </w:r>
    </w:p>
    <w:p w14:paraId="26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 </w:t>
      </w:r>
      <w:r>
        <w:rPr>
          <w:rFonts w:ascii="Times New Roman CYR" w:hAnsi="Times New Roman CYR"/>
          <w:sz w:val="28"/>
        </w:rPr>
        <w:t>постановлению</w:t>
      </w:r>
    </w:p>
    <w:p w14:paraId="27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8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9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</w:t>
      </w:r>
      <w:r>
        <w:rPr>
          <w:rFonts w:ascii="Times New Roman CYR" w:hAnsi="Times New Roman CYR"/>
          <w:sz w:val="28"/>
        </w:rPr>
        <w:t xml:space="preserve"> 14.06.</w:t>
      </w:r>
      <w:r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>22</w:t>
      </w:r>
    </w:p>
    <w:p w14:paraId="2A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№ </w:t>
      </w:r>
      <w:r>
        <w:rPr>
          <w:rFonts w:ascii="Times New Roman CYR" w:hAnsi="Times New Roman CYR"/>
          <w:sz w:val="28"/>
        </w:rPr>
        <w:t>61</w:t>
      </w:r>
    </w:p>
    <w:p w14:paraId="2B000000">
      <w:pPr>
        <w:ind w:firstLine="0" w:left="-140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2C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r>
        <w:rPr>
          <w:rFonts w:ascii="Times New Roman CYR" w:hAnsi="Times New Roman CYR"/>
          <w:sz w:val="28"/>
        </w:rPr>
        <w:t>Лопан</w:t>
      </w:r>
      <w:r>
        <w:rPr>
          <w:rFonts w:ascii="Times New Roman CYR" w:hAnsi="Times New Roman CYR"/>
          <w:sz w:val="28"/>
        </w:rPr>
        <w:t>ског</w:t>
      </w:r>
      <w:r>
        <w:rPr>
          <w:rFonts w:ascii="Times New Roman CYR" w:hAnsi="Times New Roman CYR"/>
          <w:sz w:val="28"/>
        </w:rPr>
        <w:t>о се</w:t>
      </w:r>
      <w:r>
        <w:rPr>
          <w:rFonts w:ascii="Times New Roman CYR" w:hAnsi="Times New Roman CYR"/>
          <w:sz w:val="28"/>
        </w:rPr>
        <w:t>льского поселения</w:t>
      </w:r>
    </w:p>
    <w:p w14:paraId="2D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</w:t>
      </w:r>
      <w:r>
        <w:rPr>
          <w:rFonts w:ascii="Times New Roman CYR" w:hAnsi="Times New Roman CYR"/>
          <w:sz w:val="28"/>
        </w:rPr>
        <w:t>Энергоэффективность и развитие энергетики</w:t>
      </w:r>
      <w:r>
        <w:rPr>
          <w:rFonts w:ascii="Times New Roman CYR" w:hAnsi="Times New Roman CYR"/>
          <w:sz w:val="28"/>
        </w:rPr>
        <w:t>» на 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 xml:space="preserve"> год</w:t>
      </w:r>
    </w:p>
    <w:p w14:paraId="2E000000">
      <w:pPr>
        <w:ind/>
        <w:jc w:val="center"/>
      </w:pPr>
    </w:p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</w:pPr>
            <w:r>
              <w:t>617,7</w:t>
            </w:r>
          </w:p>
        </w:tc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>Номер и наименование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</w:t>
            </w:r>
            <w:r>
              <w:t>, соисполнитель,участник</w:t>
            </w:r>
            <w:r>
              <w:t xml:space="preserve"> </w:t>
            </w:r>
            <w:r>
              <w:t>(должность/</w:t>
            </w:r>
          </w:p>
          <w:p w14:paraId="32000000">
            <w:pPr>
              <w:widowControl w:val="0"/>
              <w:ind/>
              <w:jc w:val="center"/>
            </w:pPr>
            <w:r>
              <w:t>ФИО)</w:t>
            </w:r>
            <w:r>
              <w:br/>
            </w:r>
            <w:r>
              <w:t xml:space="preserve">  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Ожидаемый результат</w:t>
            </w:r>
            <w:r>
              <w:t xml:space="preserve"> (краткое описание)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Плановый срок реализации</w:t>
            </w:r>
          </w:p>
        </w:tc>
        <w:tc>
          <w:tcPr>
            <w:tcW w:type="dxa" w:w="595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Объем расходов (тыс. рубле</w:t>
            </w:r>
            <w:r>
              <w:t>й)</w:t>
            </w:r>
          </w:p>
        </w:tc>
      </w:tr>
      <w:tr>
        <w:trPr>
          <w:trHeight w:hRule="atLeast" w:val="720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Областной бюджет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Федеральный бюджет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Внебюджетные источники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2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</w:p>
        </w:tc>
      </w:tr>
    </w:tbl>
    <w:p w14:paraId="45000000"/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3"/>
        <w:gridCol w:w="1701"/>
        <w:gridCol w:w="1701"/>
        <w:gridCol w:w="1093"/>
        <w:gridCol w:w="282"/>
        <w:gridCol w:w="569"/>
        <w:gridCol w:w="641"/>
        <w:gridCol w:w="493"/>
        <w:gridCol w:w="407"/>
        <w:gridCol w:w="1010"/>
        <w:gridCol w:w="200"/>
        <w:gridCol w:w="1136"/>
      </w:tblGrid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13910"/>
            <w:gridSpan w:val="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</w:pPr>
            <w:r>
              <w:t>Энергосбережение и повышение энергетической эффективности в муниципальных учреждениях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</w:pPr>
            <w:r>
              <w:t>1.1,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r>
              <w:t>Замена ламп накаливания и д</w:t>
            </w:r>
            <w:r>
              <w:t>ругих неэффективных элементов системы освещения, в том числе светильников, на энергосберегающие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r>
              <w:t>Директор МБУК ЛСП ЦР «Дом культуры» Мосенцева С.А.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r>
              <w:t>сокращение объемов потребления энергоресурсов, оплачиваемых из  бюджета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0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r>
              <w:t>4,</w:t>
            </w:r>
            <w:r>
              <w:t>2</w:t>
            </w:r>
          </w:p>
        </w:tc>
        <w:tc>
          <w:tcPr>
            <w:tcW w:type="dxa" w:w="85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r>
              <w:t>0,0</w:t>
            </w:r>
          </w:p>
        </w:tc>
        <w:tc>
          <w:tcPr>
            <w:tcW w:type="dxa" w:w="113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r>
              <w:t>0,0</w:t>
            </w:r>
          </w:p>
        </w:tc>
        <w:tc>
          <w:tcPr>
            <w:tcW w:type="dxa" w:w="141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r>
              <w:t>4,</w:t>
            </w:r>
            <w:r>
              <w:t>2</w:t>
            </w:r>
          </w:p>
        </w:tc>
        <w:tc>
          <w:tcPr>
            <w:tcW w:type="dxa" w:w="133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r>
              <w:t xml:space="preserve">Контрольное событие  </w:t>
            </w:r>
          </w:p>
          <w:p w14:paraId="54000000">
            <w:r>
              <w:t>подпрограммы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2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МБУК ЛСП ЦР «Дом культуры» Мосенцева С.А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r>
              <w:t>Замена лапм накаливания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</w:pPr>
            <w:r>
              <w:t>ноябрь</w:t>
            </w:r>
          </w:p>
        </w:tc>
        <w:tc>
          <w:tcPr>
            <w:tcW w:type="dxa" w:w="10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85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3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41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33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</w:pPr>
            <w:r>
              <w:t>Х</w:t>
            </w:r>
          </w:p>
        </w:tc>
      </w:tr>
      <w:tr>
        <w:trPr>
          <w:trHeight w:hRule="atLeast" w:val="360"/>
        </w:trPr>
        <w:tc>
          <w:tcPr>
            <w:tcW w:type="dxa" w:w="14760"/>
            <w:gridSpan w:val="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</w:pPr>
            <w:r>
              <w:t>2.            Подпрограмма «Развитие и модернизация электрических сетей, включая сети уличного освещения»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</w:pPr>
            <w:r>
              <w:t>2</w:t>
            </w:r>
            <w:r>
              <w:t>.1.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2"/>
              <w:widowControl w:val="1"/>
              <w:ind/>
              <w:rPr>
                <w:rFonts w:ascii="Times New Roman" w:hAnsi="Times New Roman"/>
                <w:b w:val="1"/>
              </w:rPr>
            </w:pPr>
            <w:bookmarkStart w:id="1" w:name="_Hlk26538946"/>
            <w:r>
              <w:rPr>
                <w:rFonts w:ascii="Times New Roman" w:hAnsi="Times New Roman"/>
                <w:sz w:val="24"/>
              </w:rPr>
              <w:t>Замена неэф</w:t>
            </w:r>
            <w:r>
              <w:rPr>
                <w:rFonts w:ascii="Times New Roman" w:hAnsi="Times New Roman"/>
                <w:sz w:val="24"/>
              </w:rPr>
              <w:t>ективных элементов систем освещения, в том числе и светильнико</w:t>
            </w:r>
            <w:r>
              <w:rPr>
                <w:rFonts w:ascii="Times New Roman" w:hAnsi="Times New Roman"/>
                <w:sz w:val="24"/>
              </w:rPr>
              <w:t>в</w:t>
            </w:r>
            <w:bookmarkEnd w:id="1"/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2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ЖКХ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r>
              <w:t>сокращение объемов потребления энергоресурсов, оплачиваемых из  бюджета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37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</w:pPr>
            <w:r>
              <w:t>2,7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</w:pPr>
            <w:r>
              <w:t>2,</w:t>
            </w:r>
            <w:r>
              <w:t>7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</w:pPr>
            <w:r>
              <w:t>2.2.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</w:pPr>
            <w:r>
              <w:t>Содержание сетей уличного освещения, в том числ</w:t>
            </w:r>
            <w:r>
              <w:t>е приобретение оборудования и материалов для развития и восстановления объектов электрических сетей наружного (уличного) освещения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r>
              <w:t>Главный специалист по ЖКХ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r>
              <w:t>сокращение объемов потребления энергоресурсов, оплачиваемых из  бюджета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37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r>
              <w:t>104,3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</w:pPr>
            <w:r>
              <w:t>104,3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</w:pPr>
            <w:r>
              <w:t>2.3.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</w:pPr>
            <w:r>
              <w:t>Электроснабжение сетей уличного освещения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r>
              <w:t>Главный специалист по ЖКХ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</w:pPr>
            <w:r>
              <w:t>Электроснабжение сетей уличного освещения улицы Заречная в станице Сладкая Балка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r>
              <w:t>31.12.2022</w:t>
            </w:r>
          </w:p>
        </w:tc>
        <w:tc>
          <w:tcPr>
            <w:tcW w:type="dxa" w:w="137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r>
              <w:t>461,6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</w:pPr>
            <w:r>
              <w:t>461,6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</w:pPr>
            <w:r>
              <w:t xml:space="preserve">Контрольное событие  </w:t>
            </w:r>
          </w:p>
          <w:p w14:paraId="7E000000">
            <w:pPr>
              <w:widowControl w:val="0"/>
              <w:ind/>
            </w:pPr>
            <w:r>
              <w:t>подпрограммы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r>
              <w:t>Главный специалист по ЖКХ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r>
              <w:t>Поддержание сетей уличного освещения в рабочем состоянии;</w:t>
            </w:r>
            <w:r>
              <w:t>Электроснабжение сетей уличного освещения улицы Заречная в станице Сладкая Балка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r>
              <w:t>31.12.20</w:t>
            </w:r>
            <w:r>
              <w:t>2</w:t>
            </w:r>
            <w:r>
              <w:t>2</w:t>
            </w:r>
          </w:p>
          <w:p w14:paraId="82000000"/>
          <w:p w14:paraId="83000000"/>
          <w:p w14:paraId="84000000"/>
          <w:p w14:paraId="85000000"/>
          <w:p w14:paraId="86000000"/>
          <w:p w14:paraId="87000000"/>
          <w:p w14:paraId="88000000">
            <w:r>
              <w:t>30.10.2022</w:t>
            </w:r>
          </w:p>
        </w:tc>
        <w:tc>
          <w:tcPr>
            <w:tcW w:type="dxa" w:w="137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r>
              <w:t>Х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</w:pPr>
            <w:r>
              <w:t>Х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</w:pP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</w:pPr>
          </w:p>
          <w:p w14:paraId="90000000">
            <w:pPr>
              <w:widowControl w:val="0"/>
              <w:ind/>
            </w:pPr>
            <w:r>
              <w:t>Итого по муниципальной программе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</w:pPr>
          </w:p>
        </w:tc>
        <w:tc>
          <w:tcPr>
            <w:tcW w:type="dxa" w:w="13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</w:pPr>
            <w:r>
              <w:t>572,8</w:t>
            </w:r>
          </w:p>
        </w:tc>
        <w:tc>
          <w:tcPr>
            <w:tcW w:type="dxa" w:w="12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widowControl w:val="0"/>
              <w:ind/>
              <w:jc w:val="center"/>
            </w:pPr>
            <w:r>
              <w:t>572,8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widowControl w:val="0"/>
              <w:ind/>
            </w:pPr>
            <w:r>
              <w:t>0,0</w:t>
            </w:r>
          </w:p>
        </w:tc>
      </w:tr>
    </w:tbl>
    <w:p w14:paraId="99000000">
      <w:pPr>
        <w:widowControl w:val="0"/>
        <w:ind w:firstLine="540" w:left="0"/>
        <w:jc w:val="both"/>
        <w:rPr>
          <w:color w:val="FF0000"/>
          <w:sz w:val="22"/>
        </w:rPr>
      </w:pPr>
    </w:p>
    <w:p w14:paraId="9A000000"/>
    <w:p w14:paraId="9B000000">
      <w:pPr>
        <w:widowControl w:val="0"/>
        <w:ind/>
        <w:jc w:val="both"/>
        <w:rPr>
          <w:color w:val="FF0000"/>
          <w:sz w:val="28"/>
        </w:rPr>
      </w:pPr>
    </w:p>
    <w:p w14:paraId="9C000000">
      <w:pPr>
        <w:widowControl w:val="0"/>
        <w:ind/>
        <w:jc w:val="both"/>
        <w:rPr>
          <w:color w:val="FF0000"/>
          <w:sz w:val="28"/>
        </w:rPr>
      </w:pPr>
    </w:p>
    <w:p w14:paraId="9D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Глава Администрации Лопан</w:t>
      </w:r>
      <w:r>
        <w:rPr>
          <w:rFonts w:ascii="Times New Roman CYR" w:hAnsi="Times New Roman CYR"/>
          <w:sz w:val="28"/>
        </w:rPr>
        <w:t>ског</w:t>
      </w:r>
      <w:r>
        <w:rPr>
          <w:rFonts w:ascii="Times New Roman CYR" w:hAnsi="Times New Roman CYR"/>
          <w:sz w:val="28"/>
        </w:rPr>
        <w:t>о сельского поселения                                        М.В.Качарова</w:t>
      </w:r>
    </w:p>
    <w:sectPr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Обычный + по ширине"/>
    <w:basedOn w:val="Style_3"/>
    <w:link w:val="Style_8_ch"/>
    <w:pPr>
      <w:ind w:firstLine="540" w:left="0"/>
      <w:jc w:val="both"/>
    </w:pPr>
  </w:style>
  <w:style w:styleId="Style_8_ch" w:type="character">
    <w:name w:val="Обычный + по ширине"/>
    <w:basedOn w:val="Style_3_ch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Обычный + 14 пт"/>
    <w:basedOn w:val="Style_3"/>
    <w:link w:val="Style_11_ch"/>
    <w:pPr>
      <w:ind w:firstLine="720" w:left="3600"/>
    </w:pPr>
    <w:rPr>
      <w:spacing w:val="-4"/>
      <w:sz w:val="28"/>
    </w:rPr>
  </w:style>
  <w:style w:styleId="Style_11_ch" w:type="character">
    <w:name w:val="Обычный + 14 пт"/>
    <w:basedOn w:val="Style_3_ch"/>
    <w:link w:val="Style_11"/>
    <w:rPr>
      <w:spacing w:val="-4"/>
      <w:sz w:val="28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er"/>
    <w:basedOn w:val="Style_3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header"/>
    <w:basedOn w:val="Style_3_ch"/>
    <w:link w:val="Style_13"/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2" w:type="paragraph">
    <w:name w:val="ConsPlusCell"/>
    <w:link w:val="Style_2_ch"/>
    <w:pPr>
      <w:widowControl w:val="0"/>
      <w:ind/>
    </w:pPr>
    <w:rPr>
      <w:rFonts w:ascii="Calibri" w:hAnsi="Calibri"/>
      <w:sz w:val="22"/>
    </w:rPr>
  </w:style>
  <w:style w:styleId="Style_2_ch" w:type="character">
    <w:name w:val="ConsPlusCell"/>
    <w:link w:val="Style_2"/>
    <w:rPr>
      <w:rFonts w:ascii="Calibri" w:hAnsi="Calibri"/>
      <w:sz w:val="22"/>
    </w:rPr>
  </w:style>
  <w:style w:styleId="Style_15" w:type="paragraph">
    <w:name w:val="heading 1"/>
    <w:basedOn w:val="Style_3"/>
    <w:next w:val="Style_3"/>
    <w:link w:val="Style_15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5_ch" w:type="character">
    <w:name w:val="heading 1"/>
    <w:basedOn w:val="Style_3_ch"/>
    <w:link w:val="Style_15"/>
    <w:rPr>
      <w:rFonts w:ascii="Cambria" w:hAnsi="Cambria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Balloon Text"/>
    <w:basedOn w:val="Style_3"/>
    <w:link w:val="Style_18_ch"/>
    <w:rPr>
      <w:rFonts w:ascii="Tahoma" w:hAnsi="Tahoma"/>
      <w:sz w:val="16"/>
    </w:rPr>
  </w:style>
  <w:style w:styleId="Style_18_ch" w:type="character">
    <w:name w:val="Balloon Text"/>
    <w:basedOn w:val="Style_3_ch"/>
    <w:link w:val="Style_18"/>
    <w:rPr>
      <w:rFonts w:ascii="Tahoma" w:hAnsi="Tahoma"/>
      <w:sz w:val="16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ConsPlusTitle"/>
    <w:link w:val="Style_21_ch"/>
    <w:pPr>
      <w:widowControl w:val="0"/>
      <w:ind/>
      <w:jc w:val="center"/>
    </w:pPr>
    <w:rPr>
      <w:b w:val="1"/>
      <w:sz w:val="24"/>
    </w:rPr>
  </w:style>
  <w:style w:styleId="Style_21_ch" w:type="character">
    <w:name w:val="ConsPlusTitle"/>
    <w:link w:val="Style_21"/>
    <w:rPr>
      <w:b w:val="1"/>
      <w:sz w:val="24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footer"/>
    <w:basedOn w:val="Style_3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footer"/>
    <w:basedOn w:val="Style_3_ch"/>
    <w:link w:val="Style_25"/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2022-06-16T09:18:39Z</dcterms:modified>
</cp:coreProperties>
</file>