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Лопанское</w:t>
      </w:r>
      <w:r>
        <w:rPr>
          <w:rFonts w:ascii="Times New Roman" w:hAnsi="Times New Roman"/>
          <w:sz w:val="28"/>
        </w:rPr>
        <w:t xml:space="preserve"> сельское поселение»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06.</w:t>
      </w:r>
      <w:r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72/3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с.Лопанка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0D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14:paraId="0E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03.12.2018 №</w:t>
      </w:r>
      <w:r>
        <w:rPr>
          <w:rFonts w:ascii="Times New Roman" w:hAnsi="Times New Roman"/>
          <w:sz w:val="28"/>
        </w:rPr>
        <w:t>167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распоряжением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06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12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.12.202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«О бюджете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Целинского района на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постановляет:</w:t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 Внести в приложение № 1 к постановлению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03.12.2018 №167 «Об утверждении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 изменения согласно приложению 1 к постановлению.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Приложения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</w:rPr>
        <w:t>2 и 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3.Контроль за выполнением постановления оставляю за собой.</w:t>
      </w:r>
    </w:p>
    <w:p w14:paraId="13000000">
      <w:pPr>
        <w:rPr>
          <w:rFonts w:ascii="Times New Roman" w:hAnsi="Times New Roman"/>
          <w:sz w:val="28"/>
        </w:rPr>
      </w:pPr>
    </w:p>
    <w:p w14:paraId="14000000">
      <w:pPr>
        <w:rPr>
          <w:rFonts w:ascii="Times New Roman" w:hAnsi="Times New Roman"/>
          <w:sz w:val="28"/>
        </w:rPr>
      </w:pPr>
      <w:bookmarkStart w:id="1" w:name="OLE_LINK10"/>
      <w:bookmarkStart w:id="2" w:name="OLE_LINK11"/>
      <w:bookmarkStart w:id="3" w:name="OLE_LINK19"/>
      <w:r>
        <w:rPr>
          <w:rFonts w:ascii="Times New Roman" w:hAnsi="Times New Roman"/>
          <w:sz w:val="28"/>
        </w:rPr>
        <w:t xml:space="preserve">Глава Администрации 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  <w:bookmarkEnd w:id="1"/>
      <w:bookmarkEnd w:id="2"/>
      <w:bookmarkEnd w:id="3"/>
    </w:p>
    <w:p w14:paraId="1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вносит </w:t>
      </w:r>
    </w:p>
    <w:p w14:paraId="1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специалист по ЖКХ</w:t>
      </w:r>
    </w:p>
    <w:p w14:paraId="18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9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14:paraId="1A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C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Приложение №1</w:t>
      </w:r>
    </w:p>
    <w:p w14:paraId="1E000000">
      <w:pPr>
        <w:spacing w:after="0" w:line="240" w:lineRule="auto"/>
        <w:ind w:hanging="425" w:left="68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1F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от 06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72/3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23000000">
      <w:pPr>
        <w:tabs>
          <w:tab w:leader="none" w:pos="3225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4000000">
      <w:pPr>
        <w:tabs>
          <w:tab w:leader="none" w:pos="3225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5000000">
      <w:pPr>
        <w:tabs>
          <w:tab w:leader="none" w:pos="900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27000000">
      <w:pPr>
        <w:tabs>
          <w:tab w:leader="none" w:pos="90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tabs>
          <w:tab w:leader="none" w:pos="90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70"/>
        <w:tblLayout w:type="fixed"/>
        <w:tblCellMar>
          <w:left w:type="dxa" w:w="10"/>
          <w:right w:type="dxa" w:w="10"/>
        </w:tblCellMar>
      </w:tblPr>
      <w:tblGrid>
        <w:gridCol w:w="2440"/>
        <w:gridCol w:w="540"/>
        <w:gridCol w:w="6304"/>
      </w:tblGrid>
      <w:tr>
        <w:tc>
          <w:tcPr>
            <w:tcW w:type="dxa" w:w="2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2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2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2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2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2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3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</w:t>
            </w:r>
          </w:p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4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4A000000">
            <w:pPr>
              <w:spacing w:after="0" w:line="276" w:lineRule="auto"/>
              <w:ind/>
              <w:jc w:val="both"/>
            </w:pPr>
          </w:p>
          <w:p w14:paraId="4B000000">
            <w:pPr>
              <w:spacing w:after="0" w:line="276" w:lineRule="auto"/>
              <w:ind/>
              <w:jc w:val="both"/>
            </w:pPr>
          </w:p>
          <w:p w14:paraId="4C000000">
            <w:pPr>
              <w:spacing w:after="0" w:line="276" w:lineRule="auto"/>
              <w:ind/>
              <w:jc w:val="both"/>
            </w:pPr>
          </w:p>
          <w:p w14:paraId="4D000000">
            <w:pPr>
              <w:spacing w:after="0" w:line="276" w:lineRule="auto"/>
              <w:ind/>
              <w:jc w:val="both"/>
            </w:pPr>
          </w:p>
          <w:p w14:paraId="4E000000">
            <w:pPr>
              <w:spacing w:after="0" w:line="276" w:lineRule="auto"/>
              <w:ind/>
              <w:jc w:val="both"/>
            </w:pPr>
          </w:p>
          <w:p w14:paraId="4F000000">
            <w:pPr>
              <w:spacing w:after="0" w:line="276" w:lineRule="auto"/>
              <w:ind/>
              <w:jc w:val="both"/>
            </w:pPr>
          </w:p>
          <w:p w14:paraId="50000000">
            <w:pPr>
              <w:spacing w:after="0" w:line="276" w:lineRule="auto"/>
              <w:ind/>
              <w:jc w:val="both"/>
            </w:pPr>
          </w:p>
          <w:p w14:paraId="51000000">
            <w:pPr>
              <w:spacing w:after="0" w:line="276" w:lineRule="auto"/>
              <w:ind/>
              <w:jc w:val="both"/>
            </w:pPr>
          </w:p>
          <w:p w14:paraId="52000000">
            <w:pPr>
              <w:spacing w:after="0" w:line="276" w:lineRule="auto"/>
              <w:ind/>
              <w:jc w:val="both"/>
            </w:pPr>
          </w:p>
          <w:p w14:paraId="53000000">
            <w:pPr>
              <w:spacing w:after="0" w:line="276" w:lineRule="auto"/>
              <w:ind/>
              <w:jc w:val="both"/>
            </w:pPr>
          </w:p>
          <w:p w14:paraId="54000000">
            <w:pPr>
              <w:spacing w:after="0" w:line="276" w:lineRule="auto"/>
              <w:ind/>
              <w:jc w:val="both"/>
            </w:pPr>
          </w:p>
          <w:p w14:paraId="55000000">
            <w:pPr>
              <w:spacing w:after="0" w:line="276" w:lineRule="auto"/>
              <w:ind/>
              <w:jc w:val="both"/>
            </w:pPr>
          </w:p>
          <w:p w14:paraId="56000000">
            <w:pPr>
              <w:spacing w:after="0" w:line="276" w:lineRule="auto"/>
              <w:ind/>
              <w:jc w:val="both"/>
            </w:pPr>
          </w:p>
          <w:p w14:paraId="57000000">
            <w:pPr>
              <w:spacing w:after="0" w:line="276" w:lineRule="auto"/>
              <w:ind/>
              <w:jc w:val="both"/>
            </w:pPr>
          </w:p>
          <w:p w14:paraId="58000000">
            <w:pPr>
              <w:spacing w:after="0" w:line="276" w:lineRule="auto"/>
              <w:ind/>
              <w:jc w:val="both"/>
            </w:pPr>
          </w:p>
          <w:p w14:paraId="59000000">
            <w:pPr>
              <w:spacing w:after="0" w:line="276" w:lineRule="auto"/>
              <w:ind/>
              <w:jc w:val="both"/>
            </w:pPr>
          </w:p>
          <w:p w14:paraId="5A000000">
            <w:pPr>
              <w:spacing w:after="0" w:line="276" w:lineRule="auto"/>
              <w:ind/>
              <w:jc w:val="both"/>
            </w:pPr>
          </w:p>
          <w:p w14:paraId="5B000000">
            <w:pPr>
              <w:spacing w:after="0" w:line="276" w:lineRule="auto"/>
              <w:ind/>
              <w:jc w:val="both"/>
            </w:pPr>
          </w:p>
          <w:p w14:paraId="5C000000">
            <w:pPr>
              <w:spacing w:after="0" w:line="276" w:lineRule="auto"/>
              <w:ind/>
              <w:jc w:val="both"/>
            </w:pPr>
          </w:p>
          <w:p w14:paraId="5D000000">
            <w:pPr>
              <w:spacing w:after="0" w:line="276" w:lineRule="auto"/>
              <w:ind/>
              <w:jc w:val="both"/>
            </w:pPr>
          </w:p>
          <w:p w14:paraId="5E000000">
            <w:pPr>
              <w:spacing w:after="0" w:line="276" w:lineRule="auto"/>
              <w:ind/>
              <w:jc w:val="both"/>
            </w:pPr>
          </w:p>
          <w:p w14:paraId="5F000000">
            <w:pPr>
              <w:spacing w:after="0" w:line="276" w:lineRule="auto"/>
              <w:ind/>
              <w:jc w:val="both"/>
            </w:pPr>
          </w:p>
          <w:p w14:paraId="60000000">
            <w:pPr>
              <w:spacing w:after="0" w:line="276" w:lineRule="auto"/>
              <w:ind/>
              <w:jc w:val="both"/>
            </w:pPr>
          </w:p>
          <w:p w14:paraId="61000000">
            <w:pPr>
              <w:spacing w:after="0" w:line="276" w:lineRule="auto"/>
              <w:ind/>
              <w:jc w:val="both"/>
            </w:pPr>
          </w:p>
          <w:p w14:paraId="62000000">
            <w:pPr>
              <w:spacing w:after="0" w:line="276" w:lineRule="auto"/>
              <w:ind/>
              <w:jc w:val="both"/>
            </w:pPr>
          </w:p>
          <w:p w14:paraId="63000000">
            <w:pPr>
              <w:spacing w:after="0" w:line="276" w:lineRule="auto"/>
              <w:ind/>
              <w:jc w:val="both"/>
            </w:pPr>
          </w:p>
          <w:p w14:paraId="64000000">
            <w:pPr>
              <w:spacing w:after="0" w:line="276" w:lineRule="auto"/>
              <w:ind/>
              <w:jc w:val="both"/>
            </w:pPr>
          </w:p>
          <w:p w14:paraId="65000000">
            <w:pPr>
              <w:spacing w:after="0" w:line="276" w:lineRule="auto"/>
              <w:ind/>
              <w:jc w:val="both"/>
            </w:pPr>
          </w:p>
          <w:p w14:paraId="66000000">
            <w:pPr>
              <w:spacing w:after="0" w:line="276" w:lineRule="auto"/>
              <w:ind/>
              <w:jc w:val="both"/>
            </w:pPr>
          </w:p>
          <w:p w14:paraId="67000000">
            <w:pPr>
              <w:spacing w:after="0" w:line="276" w:lineRule="auto"/>
              <w:ind/>
              <w:jc w:val="both"/>
            </w:pPr>
          </w:p>
          <w:p w14:paraId="68000000">
            <w:pPr>
              <w:spacing w:after="0" w:line="276" w:lineRule="auto"/>
              <w:ind/>
              <w:jc w:val="both"/>
            </w:pPr>
          </w:p>
          <w:p w14:paraId="69000000">
            <w:pPr>
              <w:spacing w:after="0" w:line="276" w:lineRule="auto"/>
              <w:ind/>
              <w:jc w:val="both"/>
            </w:pPr>
          </w:p>
          <w:p w14:paraId="6A000000">
            <w:pPr>
              <w:spacing w:after="0" w:line="276" w:lineRule="auto"/>
              <w:ind/>
              <w:jc w:val="both"/>
            </w:pPr>
          </w:p>
          <w:p w14:paraId="6B000000">
            <w:pPr>
              <w:spacing w:after="0" w:line="276" w:lineRule="auto"/>
              <w:ind/>
              <w:jc w:val="both"/>
            </w:pPr>
          </w:p>
          <w:p w14:paraId="6C000000">
            <w:pPr>
              <w:spacing w:after="0" w:line="276" w:lineRule="auto"/>
              <w:ind/>
              <w:jc w:val="both"/>
            </w:pPr>
          </w:p>
          <w:p w14:paraId="6D000000">
            <w:pPr>
              <w:spacing w:after="0" w:line="276" w:lineRule="auto"/>
              <w:ind/>
              <w:jc w:val="both"/>
            </w:pPr>
          </w:p>
          <w:p w14:paraId="6E000000">
            <w:pPr>
              <w:spacing w:after="0" w:line="276" w:lineRule="auto"/>
              <w:ind/>
              <w:jc w:val="both"/>
            </w:pPr>
          </w:p>
          <w:p w14:paraId="6F000000">
            <w:pPr>
              <w:spacing w:after="0" w:line="276" w:lineRule="auto"/>
              <w:ind/>
              <w:jc w:val="both"/>
            </w:pPr>
          </w:p>
          <w:p w14:paraId="70000000">
            <w:pPr>
              <w:spacing w:after="0" w:line="276" w:lineRule="auto"/>
              <w:ind/>
              <w:jc w:val="both"/>
            </w:pPr>
          </w:p>
          <w:p w14:paraId="71000000">
            <w:pPr>
              <w:spacing w:after="0" w:line="276" w:lineRule="auto"/>
              <w:ind/>
              <w:jc w:val="both"/>
            </w:pPr>
          </w:p>
          <w:p w14:paraId="72000000">
            <w:pPr>
              <w:spacing w:after="0" w:line="276" w:lineRule="auto"/>
              <w:ind/>
              <w:jc w:val="both"/>
            </w:pPr>
          </w:p>
          <w:p w14:paraId="73000000">
            <w:pPr>
              <w:spacing w:after="0" w:line="276" w:lineRule="auto"/>
              <w:ind/>
              <w:jc w:val="both"/>
            </w:pPr>
          </w:p>
          <w:p w14:paraId="74000000">
            <w:pPr>
              <w:spacing w:after="0" w:line="276" w:lineRule="auto"/>
              <w:ind/>
              <w:jc w:val="both"/>
            </w:pPr>
          </w:p>
          <w:p w14:paraId="75000000">
            <w:pPr>
              <w:spacing w:after="0" w:line="276" w:lineRule="auto"/>
              <w:ind/>
              <w:jc w:val="both"/>
            </w:pPr>
          </w:p>
          <w:p w14:paraId="76000000">
            <w:pPr>
              <w:spacing w:after="0" w:line="276" w:lineRule="auto"/>
              <w:ind/>
              <w:jc w:val="both"/>
            </w:pPr>
          </w:p>
          <w:p w14:paraId="77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7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9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9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DF000000">
            <w:pPr>
              <w:spacing w:after="0" w:line="276" w:lineRule="auto"/>
              <w:ind/>
              <w:jc w:val="both"/>
            </w:pPr>
          </w:p>
        </w:tc>
        <w:tc>
          <w:tcPr>
            <w:tcW w:type="dxa" w:w="6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E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E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E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E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E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F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F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</w:rPr>
              <w:t xml:space="preserve">поселения; </w:t>
            </w:r>
          </w:p>
          <w:p w14:paraId="F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F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F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системы мероприятий </w:t>
            </w:r>
            <w:r>
              <w:rPr>
                <w:rFonts w:ascii="Times New Roman" w:hAnsi="Times New Roman"/>
                <w:sz w:val="28"/>
              </w:rPr>
              <w:t>по современному</w:t>
            </w:r>
            <w:r>
              <w:rPr>
                <w:rFonts w:ascii="Times New Roman" w:hAnsi="Times New Roman"/>
                <w:sz w:val="28"/>
              </w:rPr>
              <w:t xml:space="preserve"> и качественному проведению работ, связанных с приведением в нормативное состояние объектов благоустройства</w:t>
            </w:r>
          </w:p>
          <w:p w14:paraId="F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F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0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0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4" w:name="OLE_LINK38"/>
            <w:bookmarkStart w:id="5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составляет  24274,8 </w:t>
            </w:r>
            <w:r>
              <w:rPr>
                <w:rFonts w:ascii="Times New Roman" w:hAnsi="Times New Roman"/>
                <w:spacing w:val="-12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0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bookmarkStart w:id="6" w:name="OLE_LINK36"/>
            <w:bookmarkStart w:id="7" w:name="OLE_LINK37"/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1735,7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1564,5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2828,6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0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3856,9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bookmarkStart w:id="8" w:name="OLE_LINK34"/>
            <w:bookmarkStart w:id="9" w:name="OLE_LINK35"/>
            <w:r>
              <w:rPr>
                <w:rFonts w:ascii="Times New Roman" w:hAnsi="Times New Roman"/>
                <w:sz w:val="28"/>
              </w:rPr>
              <w:t xml:space="preserve">1561,2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  <w:bookmarkEnd w:id="8"/>
            <w:bookmarkEnd w:id="9"/>
          </w:p>
          <w:p w14:paraId="0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727,9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0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0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0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0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1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bookmarkEnd w:id="6"/>
            <w:bookmarkEnd w:id="7"/>
          </w:p>
          <w:p w14:paraId="1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1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1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</w:t>
            </w:r>
            <w:r>
              <w:rPr>
                <w:rFonts w:ascii="Times New Roman" w:hAnsi="Times New Roman"/>
                <w:sz w:val="28"/>
              </w:rPr>
              <w:t>средств  бюджета</w:t>
            </w:r>
            <w:r>
              <w:rPr>
                <w:rFonts w:ascii="Times New Roman" w:hAnsi="Times New Roman"/>
                <w:sz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</w:rPr>
              <w:t>24274,8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1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1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1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1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3856,9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1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1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1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1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1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1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1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–2000,0 тыс. </w:t>
            </w:r>
            <w:r>
              <w:rPr>
                <w:rFonts w:ascii="Times New Roman" w:hAnsi="Times New Roman"/>
                <w:sz w:val="28"/>
              </w:rPr>
              <w:t>рублей.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2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а счет внебюджетных источников </w:t>
            </w:r>
            <w:r>
              <w:rPr>
                <w:rFonts w:ascii="Times New Roman" w:hAnsi="Times New Roman"/>
                <w:sz w:val="28"/>
              </w:rPr>
              <w:t>-  0</w:t>
            </w:r>
            <w:r>
              <w:rPr>
                <w:rFonts w:ascii="Times New Roman" w:hAnsi="Times New Roman"/>
                <w:sz w:val="28"/>
              </w:rPr>
              <w:t xml:space="preserve">,0 тыс. рублей. </w:t>
            </w:r>
            <w:bookmarkEnd w:id="4"/>
            <w:bookmarkEnd w:id="5"/>
          </w:p>
          <w:p w14:paraId="2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финансируется </w:t>
            </w:r>
            <w:r>
              <w:rPr>
                <w:rFonts w:ascii="Times New Roman" w:hAnsi="Times New Roman"/>
                <w:sz w:val="28"/>
              </w:rPr>
              <w:t>из  бюджета</w:t>
            </w:r>
            <w:r>
              <w:rPr>
                <w:rFonts w:ascii="Times New Roman" w:hAnsi="Times New Roman"/>
                <w:sz w:val="28"/>
              </w:rPr>
              <w:t xml:space="preserve"> поселения в пределах бюджетных ассигнований, предусмотренных на ее реализацию решением Собрания депутатов о бюджете </w:t>
            </w:r>
            <w:r>
              <w:rPr>
                <w:rFonts w:ascii="Times New Roman" w:hAnsi="Times New Roman"/>
                <w:sz w:val="28"/>
              </w:rPr>
              <w:t>поселения.</w:t>
            </w:r>
            <w:r>
              <w:rPr>
                <w:rFonts w:ascii="Times New Roman" w:hAnsi="Times New Roman"/>
                <w:sz w:val="28"/>
              </w:rPr>
              <w:t>Объемы</w:t>
            </w:r>
            <w:r>
              <w:rPr>
                <w:rFonts w:ascii="Times New Roman" w:hAnsi="Times New Roman"/>
                <w:sz w:val="28"/>
              </w:rPr>
              <w:t xml:space="preserve">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2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3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24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25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26010000">
      <w:pPr>
        <w:spacing w:after="0" w:line="276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подпрограммы </w:t>
      </w:r>
    </w:p>
    <w:p w14:paraId="27010000">
      <w:pPr>
        <w:spacing w:after="0" w:line="276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0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0"/>
      <w:r>
        <w:rPr>
          <w:rFonts w:ascii="Times New Roman" w:hAnsi="Times New Roman"/>
          <w:sz w:val="28"/>
        </w:rPr>
        <w:t xml:space="preserve">» </w:t>
      </w:r>
    </w:p>
    <w:p w14:paraId="28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70"/>
        <w:tblLayout w:type="fixed"/>
        <w:tblCellMar>
          <w:left w:type="dxa" w:w="10"/>
          <w:right w:type="dxa" w:w="10"/>
        </w:tblCellMar>
      </w:tblPr>
      <w:tblGrid>
        <w:gridCol w:w="2440"/>
        <w:gridCol w:w="540"/>
        <w:gridCol w:w="6304"/>
      </w:tblGrid>
      <w:tr>
        <w:tc>
          <w:tcPr>
            <w:tcW w:type="dxa" w:w="2440"/>
            <w:tcBorders>
              <w:top w:color="836967" w:sz="6" w:val="single"/>
              <w:left w:color="836967" w:sz="6" w:val="single"/>
              <w:bottom w:color="836967" w:sz="6" w:val="single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2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2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2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2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3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3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3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3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3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3C010000">
            <w:pPr>
              <w:spacing w:after="0" w:line="276" w:lineRule="auto"/>
              <w:ind/>
              <w:jc w:val="both"/>
            </w:pPr>
          </w:p>
          <w:p w14:paraId="3D010000">
            <w:pPr>
              <w:spacing w:after="0" w:line="276" w:lineRule="auto"/>
              <w:ind/>
              <w:jc w:val="both"/>
            </w:pPr>
          </w:p>
          <w:p w14:paraId="3E010000">
            <w:pPr>
              <w:spacing w:after="0" w:line="276" w:lineRule="auto"/>
              <w:ind/>
              <w:jc w:val="both"/>
            </w:pPr>
          </w:p>
          <w:p w14:paraId="3F010000">
            <w:pPr>
              <w:spacing w:after="0" w:line="276" w:lineRule="auto"/>
              <w:ind/>
              <w:jc w:val="both"/>
            </w:pPr>
          </w:p>
          <w:p w14:paraId="40010000">
            <w:pPr>
              <w:spacing w:after="0" w:line="276" w:lineRule="auto"/>
              <w:ind/>
              <w:jc w:val="both"/>
            </w:pPr>
          </w:p>
          <w:p w14:paraId="41010000">
            <w:pPr>
              <w:spacing w:after="0" w:line="276" w:lineRule="auto"/>
              <w:ind/>
              <w:jc w:val="both"/>
            </w:pPr>
          </w:p>
          <w:p w14:paraId="42010000">
            <w:pPr>
              <w:spacing w:after="0" w:line="276" w:lineRule="auto"/>
              <w:ind/>
              <w:jc w:val="both"/>
            </w:pPr>
          </w:p>
          <w:p w14:paraId="43010000">
            <w:pPr>
              <w:spacing w:after="0" w:line="276" w:lineRule="auto"/>
              <w:ind/>
              <w:jc w:val="both"/>
            </w:pPr>
          </w:p>
          <w:p w14:paraId="44010000">
            <w:pPr>
              <w:spacing w:after="0" w:line="276" w:lineRule="auto"/>
              <w:ind/>
              <w:jc w:val="both"/>
            </w:pPr>
          </w:p>
          <w:p w14:paraId="45010000">
            <w:pPr>
              <w:spacing w:after="0" w:line="276" w:lineRule="auto"/>
              <w:ind/>
              <w:jc w:val="both"/>
            </w:pPr>
          </w:p>
          <w:p w14:paraId="46010000">
            <w:pPr>
              <w:spacing w:after="0" w:line="276" w:lineRule="auto"/>
              <w:ind/>
              <w:jc w:val="both"/>
            </w:pPr>
          </w:p>
          <w:p w14:paraId="47010000">
            <w:pPr>
              <w:spacing w:after="0" w:line="276" w:lineRule="auto"/>
              <w:ind/>
              <w:jc w:val="both"/>
            </w:pPr>
          </w:p>
          <w:p w14:paraId="48010000">
            <w:pPr>
              <w:spacing w:after="0" w:line="276" w:lineRule="auto"/>
              <w:ind/>
              <w:jc w:val="both"/>
            </w:pPr>
          </w:p>
          <w:p w14:paraId="49010000">
            <w:pPr>
              <w:spacing w:after="0" w:line="276" w:lineRule="auto"/>
              <w:ind/>
              <w:jc w:val="both"/>
            </w:pPr>
          </w:p>
          <w:p w14:paraId="4A010000">
            <w:pPr>
              <w:spacing w:after="0" w:line="276" w:lineRule="auto"/>
              <w:ind/>
              <w:jc w:val="both"/>
            </w:pPr>
          </w:p>
          <w:p w14:paraId="4B010000">
            <w:pPr>
              <w:spacing w:after="0" w:line="276" w:lineRule="auto"/>
              <w:ind/>
              <w:jc w:val="both"/>
            </w:pPr>
          </w:p>
          <w:p w14:paraId="4C010000">
            <w:pPr>
              <w:spacing w:after="0" w:line="276" w:lineRule="auto"/>
              <w:ind/>
              <w:jc w:val="both"/>
            </w:pPr>
          </w:p>
          <w:p w14:paraId="4D010000">
            <w:pPr>
              <w:spacing w:after="0" w:line="276" w:lineRule="auto"/>
              <w:ind/>
              <w:jc w:val="both"/>
            </w:pPr>
          </w:p>
          <w:p w14:paraId="4E010000">
            <w:pPr>
              <w:spacing w:after="0" w:line="276" w:lineRule="auto"/>
              <w:ind/>
              <w:jc w:val="both"/>
            </w:pPr>
          </w:p>
          <w:p w14:paraId="4F010000">
            <w:pPr>
              <w:spacing w:after="0" w:line="276" w:lineRule="auto"/>
              <w:ind/>
              <w:jc w:val="both"/>
            </w:pPr>
          </w:p>
          <w:p w14:paraId="50010000">
            <w:pPr>
              <w:spacing w:after="0" w:line="276" w:lineRule="auto"/>
              <w:ind/>
              <w:jc w:val="both"/>
            </w:pPr>
          </w:p>
          <w:p w14:paraId="51010000">
            <w:pPr>
              <w:spacing w:after="0" w:line="276" w:lineRule="auto"/>
              <w:ind/>
              <w:jc w:val="both"/>
            </w:pPr>
          </w:p>
          <w:p w14:paraId="52010000">
            <w:pPr>
              <w:spacing w:after="0" w:line="276" w:lineRule="auto"/>
              <w:ind/>
              <w:jc w:val="both"/>
            </w:pPr>
          </w:p>
          <w:p w14:paraId="53010000">
            <w:pPr>
              <w:spacing w:after="0" w:line="276" w:lineRule="auto"/>
              <w:ind/>
              <w:jc w:val="both"/>
            </w:pPr>
          </w:p>
          <w:p w14:paraId="54010000">
            <w:pPr>
              <w:spacing w:after="0" w:line="276" w:lineRule="auto"/>
              <w:ind/>
              <w:jc w:val="both"/>
            </w:pPr>
          </w:p>
          <w:p w14:paraId="55010000">
            <w:pPr>
              <w:spacing w:after="0" w:line="276" w:lineRule="auto"/>
              <w:ind/>
              <w:jc w:val="both"/>
            </w:pPr>
          </w:p>
          <w:p w14:paraId="56010000">
            <w:pPr>
              <w:spacing w:after="0" w:line="276" w:lineRule="auto"/>
              <w:ind/>
              <w:jc w:val="both"/>
            </w:pPr>
          </w:p>
          <w:p w14:paraId="57010000">
            <w:pPr>
              <w:spacing w:after="0" w:line="276" w:lineRule="auto"/>
              <w:ind/>
              <w:jc w:val="both"/>
            </w:pPr>
          </w:p>
          <w:p w14:paraId="58010000">
            <w:pPr>
              <w:spacing w:after="0" w:line="276" w:lineRule="auto"/>
              <w:ind/>
              <w:jc w:val="both"/>
            </w:pPr>
          </w:p>
          <w:p w14:paraId="59010000">
            <w:pPr>
              <w:spacing w:after="0" w:line="276" w:lineRule="auto"/>
              <w:ind/>
              <w:jc w:val="both"/>
            </w:pPr>
          </w:p>
          <w:p w14:paraId="5A010000">
            <w:pPr>
              <w:spacing w:after="0" w:line="276" w:lineRule="auto"/>
              <w:ind/>
              <w:jc w:val="both"/>
            </w:pPr>
          </w:p>
          <w:p w14:paraId="5B010000">
            <w:pPr>
              <w:spacing w:after="0" w:line="276" w:lineRule="auto"/>
              <w:ind/>
              <w:jc w:val="both"/>
            </w:pPr>
          </w:p>
          <w:p w14:paraId="5C010000">
            <w:pPr>
              <w:spacing w:after="0" w:line="276" w:lineRule="auto"/>
              <w:ind/>
              <w:jc w:val="both"/>
            </w:pPr>
          </w:p>
          <w:p w14:paraId="5D010000">
            <w:pPr>
              <w:spacing w:after="0" w:line="276" w:lineRule="auto"/>
              <w:ind/>
              <w:jc w:val="both"/>
            </w:pPr>
          </w:p>
          <w:p w14:paraId="5E010000">
            <w:pPr>
              <w:spacing w:after="0" w:line="276" w:lineRule="auto"/>
              <w:ind/>
              <w:jc w:val="both"/>
            </w:pPr>
          </w:p>
          <w:p w14:paraId="5F010000">
            <w:pPr>
              <w:spacing w:after="0" w:line="276" w:lineRule="auto"/>
              <w:ind/>
              <w:jc w:val="both"/>
            </w:pPr>
          </w:p>
          <w:p w14:paraId="60010000">
            <w:pPr>
              <w:spacing w:after="0" w:line="276" w:lineRule="auto"/>
              <w:ind/>
              <w:jc w:val="both"/>
            </w:pPr>
          </w:p>
          <w:p w14:paraId="61010000">
            <w:pPr>
              <w:spacing w:after="0" w:line="276" w:lineRule="auto"/>
              <w:ind/>
              <w:jc w:val="both"/>
            </w:pPr>
          </w:p>
          <w:p w14:paraId="62010000">
            <w:pPr>
              <w:spacing w:after="0" w:line="276" w:lineRule="auto"/>
              <w:ind/>
              <w:jc w:val="both"/>
            </w:pPr>
          </w:p>
          <w:p w14:paraId="63010000">
            <w:pPr>
              <w:spacing w:after="0" w:line="276" w:lineRule="auto"/>
              <w:ind/>
              <w:jc w:val="both"/>
            </w:pPr>
          </w:p>
          <w:p w14:paraId="64010000">
            <w:pPr>
              <w:spacing w:after="0" w:line="276" w:lineRule="auto"/>
              <w:ind/>
              <w:jc w:val="both"/>
            </w:pPr>
          </w:p>
          <w:p w14:paraId="65010000">
            <w:pPr>
              <w:spacing w:after="0" w:line="276" w:lineRule="auto"/>
              <w:ind/>
              <w:jc w:val="both"/>
            </w:pPr>
          </w:p>
          <w:p w14:paraId="66010000">
            <w:pPr>
              <w:spacing w:after="0" w:line="276" w:lineRule="auto"/>
              <w:ind/>
              <w:jc w:val="both"/>
            </w:pPr>
          </w:p>
          <w:p w14:paraId="67010000">
            <w:pPr>
              <w:spacing w:after="0" w:line="276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type="dxa" w:w="540"/>
            <w:tcBorders>
              <w:top w:color="836967" w:sz="6" w:val="single"/>
              <w:left w:color="836967" w:sz="6" w:val="single"/>
              <w:bottom w:sz="4" w:val="nil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6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B0010000">
            <w:pPr>
              <w:spacing w:after="0" w:line="276" w:lineRule="auto"/>
              <w:ind/>
              <w:jc w:val="both"/>
            </w:pPr>
          </w:p>
        </w:tc>
        <w:tc>
          <w:tcPr>
            <w:tcW w:type="dxa" w:w="6304"/>
            <w:tcBorders>
              <w:top w:color="836967" w:sz="6" w:val="single"/>
              <w:left w:color="836967" w:sz="6" w:val="single"/>
              <w:bottom w:color="836967" w:sz="6" w:val="single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B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B2010000">
            <w:pPr>
              <w:tabs>
                <w:tab w:leader="none" w:pos="900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  <w:p w14:paraId="B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B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B010000">
            <w:pPr>
              <w:spacing w:after="0" w:line="360" w:lineRule="auto"/>
              <w:ind/>
              <w:rPr>
                <w:rFonts w:ascii="Times New Roman" w:hAnsi="Times New Roman"/>
                <w:sz w:val="28"/>
              </w:rPr>
            </w:pPr>
          </w:p>
          <w:p w14:paraId="B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B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E01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C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C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C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C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24274,8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C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C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C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C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  3856,9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C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C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C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C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C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D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D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D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D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sz w:val="28"/>
              </w:rPr>
              <w:t>24274,8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D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D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D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D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 xml:space="preserve">–  3856,9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D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D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D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D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D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D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D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D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E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–2000,0 тыс. </w:t>
            </w:r>
            <w:r>
              <w:rPr>
                <w:rFonts w:ascii="Times New Roman" w:hAnsi="Times New Roman"/>
                <w:sz w:val="28"/>
              </w:rPr>
              <w:t>рублей.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- 0,0 тыс. рублей. </w:t>
            </w:r>
          </w:p>
          <w:p w14:paraId="E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E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E6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E7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E8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</w:p>
    <w:p w14:paraId="E9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EA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EB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</w:p>
    <w:p w14:paraId="EC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ED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</w:t>
      </w:r>
      <w:r>
        <w:rPr>
          <w:rFonts w:ascii="Times New Roman" w:hAnsi="Times New Roman"/>
          <w:sz w:val="28"/>
        </w:rPr>
        <w:t xml:space="preserve">направлением социально-экономического развития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 </w:t>
      </w:r>
    </w:p>
    <w:p w14:paraId="EE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Муниципальная программа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EF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F0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 </w:t>
      </w:r>
    </w:p>
    <w:p w14:paraId="F1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Сведения о показателях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F2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Перечень подпрограмм, основных мероприятий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F3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Расходы бюджета поселения на реализацию муниципальной программы приведены в приложении № 3. </w:t>
      </w:r>
    </w:p>
    <w:p w14:paraId="F4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областного бюджета, местного бюджета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внебюджетных источников на реализацию муниципальной программы приведены в приложении № 4.</w:t>
      </w:r>
    </w:p>
    <w:p w14:paraId="F5010000">
      <w:pPr>
        <w:spacing w:after="0" w:line="276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F6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F7010000">
      <w:pPr>
        <w:sectPr>
          <w:pgSz w:h="16838" w:orient="portrait" w:w="11906"/>
          <w:pgMar w:bottom="737" w:footer="709" w:gutter="0" w:header="709" w:left="1701" w:right="851" w:top="567"/>
        </w:sectPr>
      </w:pPr>
    </w:p>
    <w:p w14:paraId="F801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14:paraId="F9010000">
      <w:pPr>
        <w:spacing w:after="0" w:line="240" w:lineRule="auto"/>
        <w:ind w:hanging="425" w:left="680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FA01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FB01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06.07.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72/3</w:t>
      </w:r>
    </w:p>
    <w:p w14:paraId="FC010000">
      <w:pPr>
        <w:tabs>
          <w:tab w:leader="none" w:pos="6641" w:val="left"/>
          <w:tab w:leader="none" w:pos="7427" w:val="center"/>
        </w:tabs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FD01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юджета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на реализацию</w:t>
      </w:r>
      <w:r>
        <w:rPr>
          <w:rFonts w:ascii="Times New Roman" w:hAnsi="Times New Roman"/>
          <w:sz w:val="28"/>
        </w:rPr>
        <w:t xml:space="preserve"> муниципальной </w:t>
      </w:r>
      <w:r>
        <w:rPr>
          <w:rFonts w:ascii="Times New Roman" w:hAnsi="Times New Roman"/>
          <w:sz w:val="28"/>
        </w:rPr>
        <w:t xml:space="preserve">программы 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tbl>
      <w:tblPr>
        <w:tblStyle w:val="Style_1"/>
        <w:tblInd w:type="dxa" w:w="-176"/>
        <w:tblLayout w:type="fixed"/>
      </w:tblPr>
      <w:tblGrid>
        <w:gridCol w:w="565"/>
        <w:gridCol w:w="1791"/>
        <w:gridCol w:w="867"/>
        <w:gridCol w:w="407"/>
        <w:gridCol w:w="483"/>
        <w:gridCol w:w="867"/>
        <w:gridCol w:w="406"/>
        <w:gridCol w:w="791"/>
        <w:gridCol w:w="714"/>
        <w:gridCol w:w="714"/>
        <w:gridCol w:w="689"/>
        <w:gridCol w:w="714"/>
        <w:gridCol w:w="714"/>
        <w:gridCol w:w="714"/>
        <w:gridCol w:w="714"/>
        <w:gridCol w:w="714"/>
        <w:gridCol w:w="715"/>
        <w:gridCol w:w="714"/>
        <w:gridCol w:w="713"/>
        <w:gridCol w:w="714"/>
      </w:tblGrid>
      <w:tr>
        <w:trPr>
          <w:trHeight w:hRule="atLeast" w:val="312"/>
        </w:trPr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7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8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type="dxa" w:w="21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type="dxa" w:w="7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всего (тыс. рублей) </w:t>
            </w:r>
          </w:p>
        </w:tc>
        <w:tc>
          <w:tcPr>
            <w:tcW w:type="dxa" w:w="854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ind w:firstLine="0" w:left="-106"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ГРБС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Р3Пр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ЦСР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ВР</w:t>
            </w:r>
          </w:p>
        </w:tc>
        <w:tc>
          <w:tcPr>
            <w:tcW w:type="dxa" w:w="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rHeight w:hRule="atLeast" w:val="114"/>
        </w:trPr>
        <w:tc>
          <w:tcPr>
            <w:tcW w:type="dxa" w:w="565"/>
            <w:tcBorders>
              <w:top w:color="000000" w:sz="4" w:val="single"/>
              <w:bottom w:color="000000" w:sz="4" w:val="single"/>
            </w:tcBorders>
          </w:tcPr>
          <w:p w14:paraId="14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40"/>
            <w:gridSpan w:val="9"/>
            <w:tcBorders>
              <w:top w:color="000000" w:sz="4" w:val="single"/>
              <w:bottom w:color="000000" w:sz="4" w:val="single"/>
            </w:tcBorders>
          </w:tcPr>
          <w:p w14:paraId="1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16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7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8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9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A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B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C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type="dxa" w:w="7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71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713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rPr>
          <w:trHeight w:hRule="atLeast" w:val="1560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bookmarkStart w:id="11" w:name="_Hlk529216138"/>
            <w:r>
              <w:rPr>
                <w:rFonts w:ascii="Times New Roman" w:hAnsi="Times New Roman"/>
                <w:spacing w:val="-8"/>
                <w:sz w:val="24"/>
              </w:rPr>
              <w:t>I</w:t>
            </w:r>
            <w:r>
              <w:rPr>
                <w:rFonts w:ascii="Times New Roman" w:hAnsi="Times New Roman"/>
                <w:spacing w:val="-8"/>
                <w:sz w:val="24"/>
              </w:rPr>
              <w:t>.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7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24274,8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C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6" w:val="single"/>
            </w:tcBorders>
          </w:tcPr>
          <w:p w14:paraId="3E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</w:tcPr>
          <w:p w14:paraId="3F020000">
            <w:r>
              <w:t>3856,9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0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1020000">
            <w:r>
              <w:t>727,9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2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3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4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5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3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6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</w:tcPr>
          <w:p w14:paraId="47020000">
            <w:r>
              <w:rPr>
                <w:rFonts w:ascii="Times New Roman" w:hAnsi="Times New Roman"/>
                <w:spacing w:val="-18"/>
              </w:rPr>
              <w:t>2000</w:t>
            </w:r>
            <w:bookmarkEnd w:id="11"/>
          </w:p>
        </w:tc>
      </w:tr>
      <w:tr>
        <w:trPr>
          <w:trHeight w:hRule="atLeast" w:val="624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F020000">
            <w:r>
              <w:t>24274,8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20000">
            <w:r>
              <w:t>1735,7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20000">
            <w:r>
              <w:t>1564,5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2020000">
            <w:r>
              <w:t>2828,6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3020000">
            <w:r>
              <w:t>3856,9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t>1561,2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5020000">
            <w:r>
              <w:t>727,9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6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7020000">
            <w:r>
              <w:t>2000</w:t>
            </w:r>
          </w:p>
        </w:tc>
        <w:tc>
          <w:tcPr>
            <w:tcW w:type="dxa" w:w="71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8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9020000">
            <w:r>
              <w:t>2000</w:t>
            </w:r>
          </w:p>
        </w:tc>
        <w:tc>
          <w:tcPr>
            <w:tcW w:type="dxa" w:w="71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A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B020000">
            <w:r>
              <w:t>2000</w:t>
            </w:r>
          </w:p>
        </w:tc>
      </w:tr>
      <w:tr>
        <w:trPr>
          <w:trHeight w:hRule="atLeast" w:val="1248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1.1.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1.1. «</w:t>
            </w:r>
            <w:r>
              <w:rPr>
                <w:rFonts w:ascii="Times New Roman" w:hAnsi="Times New Roman"/>
                <w:sz w:val="24"/>
              </w:rPr>
              <w:t>Оплата коммунальных услуг за уличное освещение территории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0710024380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8609,1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780,3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760,8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847,7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850,0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20000">
            <w:r>
              <w:t>850,0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20000">
            <w:r>
              <w:t>512,9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</w:tr>
      <w:tr>
        <w:trPr>
          <w:trHeight w:hRule="atLeast" w:val="1393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1.2.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0710024140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3207,8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198,6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253,2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225,2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219,5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211,3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</w:tr>
      <w:tr>
        <w:trPr>
          <w:trHeight w:hRule="atLeast" w:val="709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1.3.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содержание мест захоронения</w:t>
            </w:r>
            <w:r>
              <w:rPr>
                <w:rFonts w:ascii="Times New Roman" w:hAnsi="Times New Roman"/>
                <w:spacing w:val="-10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 xml:space="preserve">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0710024150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B020000">
            <w:r>
              <w:t>2781,6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156,4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438,6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F020000">
            <w:r>
              <w:t>395,9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0020000">
            <w:r>
              <w:t>105,8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1020000">
            <w:r>
              <w:t>107,0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2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3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4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5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6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7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</w:tr>
      <w:tr>
        <w:trPr>
          <w:trHeight w:hRule="atLeast" w:val="936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1.4.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1.4. «</w:t>
            </w:r>
            <w:r>
              <w:rPr>
                <w:rFonts w:ascii="Times New Roman" w:hAnsi="Times New Roman"/>
                <w:color w:val="000000"/>
                <w:sz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мероприятия по благоустройству»</w:t>
            </w:r>
          </w:p>
          <w:p w14:paraId="9A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0710024160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9676,3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498,9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1317,1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>2391,5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>108,0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</w:tr>
    </w:tbl>
    <w:p w14:paraId="AD020000">
      <w:pPr>
        <w:spacing w:line="100" w:lineRule="atLeast"/>
        <w:ind/>
        <w:rPr>
          <w:sz w:val="28"/>
        </w:rPr>
      </w:pPr>
    </w:p>
    <w:p w14:paraId="AE020000">
      <w:pPr>
        <w:spacing w:line="100" w:lineRule="atLeast"/>
        <w:ind/>
        <w:rPr>
          <w:sz w:val="28"/>
        </w:rPr>
      </w:pPr>
    </w:p>
    <w:p w14:paraId="AF02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 </w:t>
      </w:r>
    </w:p>
    <w:p w14:paraId="B002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</w:p>
    <w:p w14:paraId="B1020000">
      <w:pPr>
        <w:sectPr>
          <w:pgSz w:h="11906" w:orient="landscape" w:w="16838"/>
          <w:pgMar w:bottom="1701" w:footer="709" w:gutter="0" w:header="709" w:left="1134" w:right="1134" w:top="851"/>
        </w:sectPr>
      </w:pPr>
    </w:p>
    <w:p w14:paraId="B202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B302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14:paraId="B4020000">
      <w:pPr>
        <w:spacing w:after="0" w:line="240" w:lineRule="auto"/>
        <w:ind w:hanging="425" w:left="680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B502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B602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72/3</w:t>
      </w:r>
    </w:p>
    <w:p w14:paraId="B7020000">
      <w:pPr>
        <w:tabs>
          <w:tab w:leader="none" w:pos="6641" w:val="left"/>
          <w:tab w:leader="none" w:pos="7427" w:val="center"/>
        </w:tabs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B802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tbl>
      <w:tblPr>
        <w:tblStyle w:val="Style_1"/>
        <w:tblInd w:type="dxa" w:w="-459"/>
        <w:tblLayout w:type="fixed"/>
      </w:tblPr>
      <w:tblGrid>
        <w:gridCol w:w="421"/>
        <w:gridCol w:w="1923"/>
        <w:gridCol w:w="1774"/>
        <w:gridCol w:w="974"/>
        <w:gridCol w:w="815"/>
        <w:gridCol w:w="895"/>
        <w:gridCol w:w="815"/>
        <w:gridCol w:w="815"/>
        <w:gridCol w:w="815"/>
        <w:gridCol w:w="815"/>
        <w:gridCol w:w="895"/>
        <w:gridCol w:w="894"/>
        <w:gridCol w:w="815"/>
        <w:gridCol w:w="764"/>
        <w:gridCol w:w="786"/>
        <w:gridCol w:w="815"/>
      </w:tblGrid>
      <w:tr>
        <w:trPr>
          <w:trHeight w:hRule="atLeast" w:val="528"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9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7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  <w:p w14:paraId="B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type="dxa" w:w="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Объем расходов</w:t>
            </w: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всего (тыс. рублей)</w:t>
            </w:r>
          </w:p>
        </w:tc>
        <w:tc>
          <w:tcPr>
            <w:tcW w:type="dxa" w:w="9938"/>
            <w:gridSpan w:val="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2019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2021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2023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2024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2025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2027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2028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2030</w:t>
            </w:r>
          </w:p>
        </w:tc>
      </w:tr>
      <w:tr>
        <w:trPr>
          <w:trHeight w:hRule="atLeast" w:val="70"/>
        </w:trPr>
        <w:tc>
          <w:tcPr>
            <w:tcW w:type="dxa" w:w="421"/>
            <w:tcBorders>
              <w:top w:color="000000" w:sz="4" w:val="single"/>
              <w:bottom w:color="000000" w:sz="4" w:val="single"/>
            </w:tcBorders>
          </w:tcPr>
          <w:p w14:paraId="C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14608"/>
            <w:gridSpan w:val="15"/>
            <w:tcBorders>
              <w:top w:color="000000" w:sz="4" w:val="single"/>
              <w:bottom w:color="000000" w:sz="4" w:val="single"/>
            </w:tcBorders>
          </w:tcPr>
          <w:p w14:paraId="C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</w:t>
            </w:r>
          </w:p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3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4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7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8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10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11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13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14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16</w:t>
            </w:r>
          </w:p>
        </w:tc>
      </w:tr>
      <w:tr>
        <w:trPr>
          <w:trHeight w:hRule="atLeast" w:val="312"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I</w:t>
            </w:r>
            <w:r>
              <w:rPr>
                <w:rFonts w:ascii="Times New Roman" w:hAnsi="Times New Roman"/>
                <w:spacing w:val="-8"/>
                <w:sz w:val="24"/>
              </w:rPr>
              <w:t>.</w:t>
            </w:r>
          </w:p>
        </w:tc>
        <w:tc>
          <w:tcPr>
            <w:tcW w:type="dxa" w:w="192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E020000">
            <w:pPr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F020000">
            <w:r>
              <w:t>всего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r>
              <w:t>24274,8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3856,9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r>
              <w:t>727,9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D020000">
            <w:r>
              <w:t>местный бюджет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24274,8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3856,9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r>
              <w:t>727,9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351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B020000">
            <w:r>
              <w:t>безвозмездные поступления в местный бюджет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  <w:bookmarkStart w:id="12" w:name="_Hlk529216897"/>
            <w:bookmarkEnd w:id="12"/>
          </w:p>
        </w:tc>
      </w:tr>
      <w:tr>
        <w:trPr>
          <w:trHeight w:hRule="atLeast" w:val="312"/>
        </w:trPr>
        <w:tc>
          <w:tcPr>
            <w:tcW w:type="dxa" w:w="421"/>
            <w:vMerge w:val="restart"/>
            <w:tcBorders>
              <w:left w:color="000000" w:sz="4" w:val="single"/>
              <w:right w:color="000000" w:sz="4" w:val="single"/>
            </w:tcBorders>
          </w:tcPr>
          <w:p w14:paraId="0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A030000">
            <w:r>
              <w:t>в том числе за счет средств: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8030000">
            <w:r>
              <w:t xml:space="preserve">областного </w:t>
            </w:r>
            <w:r>
              <w:t>бюджета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30000">
            <w:r>
              <w:t>внебюджетные источники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421"/>
            <w:vMerge w:val="restart"/>
            <w:tcBorders>
              <w:top w:sz="4" w:val="nil"/>
              <w:left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type="dxa" w:w="1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6030000">
            <w:r>
              <w:t>всего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24274,8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3856,9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r>
              <w:t>727,9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43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4030000">
            <w:r>
              <w:t>местный бюджет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24274,8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3856,9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r>
              <w:t>727,9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145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2030000">
            <w:r>
              <w:t>безвозмездные поступления в местный бюджет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30000">
            <w:r>
              <w:t>в том числе за счет средств: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</w:tr>
      <w:tr>
        <w:trPr>
          <w:trHeight w:hRule="atLeast" w:val="87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30000">
            <w:r>
              <w:t>областного бюджета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119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30000">
            <w:r>
              <w:t>внебюджетные источники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</w:tbl>
    <w:p w14:paraId="8A030000">
      <w:pPr>
        <w:spacing w:line="100" w:lineRule="atLeast"/>
        <w:ind/>
        <w:rPr>
          <w:sz w:val="28"/>
        </w:rPr>
      </w:pPr>
    </w:p>
    <w:p w14:paraId="8B030000">
      <w:pPr>
        <w:spacing w:line="100" w:lineRule="atLeast"/>
        <w:ind/>
        <w:rPr>
          <w:sz w:val="28"/>
        </w:rPr>
      </w:pPr>
    </w:p>
    <w:p w14:paraId="8C030000">
      <w:pPr>
        <w:spacing w:line="100" w:lineRule="atLeast"/>
        <w:ind/>
        <w:rPr>
          <w:sz w:val="28"/>
        </w:rPr>
      </w:pPr>
    </w:p>
    <w:p w14:paraId="8D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лавы Администрации </w:t>
      </w:r>
    </w:p>
    <w:p w14:paraId="8E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</w:t>
      </w:r>
      <w:r>
        <w:rPr>
          <w:rFonts w:ascii="Times New Roman" w:hAnsi="Times New Roman"/>
          <w:sz w:val="28"/>
        </w:rPr>
        <w:t>М.В.Качарова</w:t>
      </w:r>
    </w:p>
    <w:p w14:paraId="8F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</w:p>
    <w:p w14:paraId="90030000">
      <w:pPr>
        <w:widowControl w:val="0"/>
        <w:ind/>
        <w:jc w:val="right"/>
        <w:outlineLvl w:val="2"/>
        <w:rPr>
          <w:sz w:val="24"/>
        </w:rPr>
      </w:pPr>
    </w:p>
    <w:sectPr>
      <w:pgSz w:h="11906" w:orient="landscape" w:w="16838"/>
      <w:pgMar w:bottom="851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ConsPlusCell"/>
    <w:link w:val="Style_20_ch"/>
    <w:rPr>
      <w:rFonts w:ascii="Times New Roman" w:hAnsi="Times New Roman"/>
      <w:sz w:val="28"/>
    </w:rPr>
  </w:style>
  <w:style w:styleId="Style_20_ch" w:type="character">
    <w:name w:val="ConsPlusCell"/>
    <w:link w:val="Style_20"/>
    <w:rPr>
      <w:rFonts w:ascii="Times New Roman" w:hAnsi="Times New Roman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Balloon Text"/>
    <w:basedOn w:val="Style_2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2_ch"/>
    <w:link w:val="Style_23"/>
    <w:rPr>
      <w:rFonts w:ascii="Segoe UI" w:hAnsi="Segoe UI"/>
      <w:sz w:val="18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2022-08-30T06:44:12Z</dcterms:modified>
</cp:coreProperties>
</file>