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</w:t>
      </w:r>
      <w:r>
        <w:rPr>
          <w:b w:val="1"/>
          <w:spacing w:val="-2"/>
          <w:sz w:val="28"/>
        </w:rPr>
        <w:t xml:space="preserve">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 xml:space="preserve">30.12.2022                                              № 135                                   с. </w:t>
      </w:r>
      <w:r>
        <w:rPr>
          <w:sz w:val="28"/>
        </w:rPr>
        <w:t>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селького</w:t>
      </w:r>
      <w:r>
        <w:rPr>
          <w:rFonts w:ascii="Times New Roman CYR" w:hAnsi="Times New Roman CYR"/>
          <w:sz w:val="28"/>
        </w:rPr>
        <w:t xml:space="preserve"> поселения</w:t>
      </w:r>
    </w:p>
    <w:p w14:paraId="10000000">
      <w:pPr>
        <w:pStyle w:val="Style_1"/>
        <w:ind w:firstLine="0" w:left="0"/>
        <w:jc w:val="both"/>
      </w:pPr>
      <w:r>
        <w:rPr>
          <w:rFonts w:ascii="Times New Roman CYR" w:hAnsi="Times New Roman CYR"/>
        </w:rPr>
        <w:t>«</w:t>
      </w:r>
      <w:bookmarkStart w:id="1" w:name="_Hlk27057708"/>
      <w:r>
        <w:t xml:space="preserve">Благоустройство территории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bookmarkEnd w:id="1"/>
      <w:r>
        <w:rPr>
          <w:sz w:val="28"/>
        </w:rPr>
        <w:t>»</w:t>
      </w:r>
    </w:p>
    <w:p w14:paraId="12000000">
      <w:pPr>
        <w:rPr>
          <w:sz w:val="28"/>
        </w:rPr>
      </w:pPr>
      <w:r>
        <w:rPr>
          <w:sz w:val="28"/>
        </w:rPr>
        <w:t>на 2023 год</w:t>
      </w:r>
    </w:p>
    <w:p w14:paraId="13000000">
      <w:pPr>
        <w:rPr>
          <w:rFonts w:ascii="Times New Roman CYR" w:hAnsi="Times New Roman CYR"/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года № 65 «Об утверждении Порядка</w:t>
      </w:r>
    </w:p>
    <w:p w14:paraId="15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6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и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</w:t>
      </w:r>
    </w:p>
    <w:p w14:paraId="17000000">
      <w:pPr>
        <w:rPr>
          <w:sz w:val="28"/>
        </w:rPr>
      </w:pPr>
    </w:p>
    <w:p w14:paraId="18000000">
      <w:pPr>
        <w:ind w:firstLine="708" w:left="0"/>
        <w:rPr>
          <w:sz w:val="28"/>
        </w:rPr>
      </w:pPr>
      <w:r>
        <w:rPr>
          <w:sz w:val="28"/>
        </w:rPr>
        <w:t>постановляет: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«Благоустройство территории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поселения» на 2023 год согласно приложению к настоящему постановлению.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2023 года.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</w:t>
      </w:r>
      <w:r>
        <w:rPr>
          <w:rFonts w:ascii="Times New Roman CYR" w:hAnsi="Times New Roman CYR"/>
          <w:sz w:val="28"/>
        </w:rPr>
        <w:t>Контроль за</w:t>
      </w:r>
      <w:r>
        <w:rPr>
          <w:rFonts w:ascii="Times New Roman CYR" w:hAnsi="Times New Roman CYR"/>
          <w:sz w:val="28"/>
        </w:rPr>
        <w:t xml:space="preserve"> исполнением постановления оставляю за собой.</w:t>
      </w: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r>
        <w:rPr>
          <w:rFonts w:ascii="Times New Roman CYR" w:hAnsi="Times New Roman CYR"/>
          <w:sz w:val="28"/>
        </w:rPr>
        <w:t>М.В.Качарова</w:t>
      </w:r>
    </w:p>
    <w:p w14:paraId="1F000000">
      <w:pPr>
        <w:ind/>
        <w:jc w:val="both"/>
        <w:rPr>
          <w:rFonts w:ascii="Times New Roman CYR" w:hAnsi="Times New Roman CYR"/>
          <w:sz w:val="28"/>
        </w:rPr>
      </w:pPr>
    </w:p>
    <w:p w14:paraId="20000000">
      <w:pPr>
        <w:ind/>
        <w:jc w:val="center"/>
        <w:rPr>
          <w:sz w:val="22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М.А.Гимбатов</w:t>
      </w:r>
    </w:p>
    <w:p w14:paraId="25000000">
      <w:pPr>
        <w:ind/>
        <w:jc w:val="both"/>
        <w:rPr>
          <w:sz w:val="20"/>
        </w:rPr>
      </w:pPr>
    </w:p>
    <w:p w14:paraId="26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135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F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поселения» на 2023 год</w:t>
      </w:r>
    </w:p>
    <w:p w14:paraId="30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</w:t>
            </w:r>
            <w:r>
              <w:t>соисполнитель</w:t>
            </w:r>
            <w:r>
              <w:t>,у</w:t>
            </w:r>
            <w:r>
              <w:t>частник</w:t>
            </w:r>
            <w:r>
              <w:t xml:space="preserve"> (должность/</w:t>
            </w:r>
          </w:p>
          <w:p w14:paraId="34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612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4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</w:p>
        </w:tc>
        <w:tc>
          <w:tcPr>
            <w:tcW w:type="dxa" w:w="1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44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15047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1.</w:t>
            </w:r>
            <w:r>
              <w:rPr>
                <w:b w:val="1"/>
              </w:rPr>
              <w:t xml:space="preserve"> Подпрограмма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</w:rPr>
              <w:t>«</w:t>
            </w:r>
            <w:bookmarkStart w:id="2" w:name="_Hlk26432224"/>
            <w:r>
              <w:rPr>
                <w:b w:val="1"/>
              </w:rPr>
              <w:t>Повышение уровня внутреннего благоустройства территории поселения</w:t>
            </w:r>
            <w:bookmarkEnd w:id="2"/>
            <w:r>
              <w:rPr>
                <w:b w:val="1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</w:pPr>
            <w:r>
              <w:t xml:space="preserve"> 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r>
              <w:rPr>
                <w:rFonts w:ascii="Times New Roman" w:hAnsi="Times New Roman"/>
                <w:sz w:val="24"/>
              </w:rPr>
              <w:t>М.А.Гимбатов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14:paraId="4C000000"/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31.12.202</w:t>
            </w:r>
            <w:r>
              <w:t>3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1250,0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1250,0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t>многолетних насаждений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widowControl w:val="1"/>
              <w:ind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r>
              <w:rPr>
                <w:b w:val="0"/>
              </w:rP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t xml:space="preserve">обеспечение озеленения территории, </w:t>
            </w:r>
            <w:r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31.12.2023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397,2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397,2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1608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widowControl w:val="1"/>
              <w:ind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widowControl w:val="1"/>
              <w:ind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r>
              <w:rPr>
                <w:b w:val="0"/>
              </w:rP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r>
              <w:t>организация и содержание мест захоронения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31.12.2023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202,6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202,6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</w:pPr>
            <w:r>
              <w:t>1.4.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r>
              <w:rPr>
                <w:rFonts w:ascii="Times New Roman" w:hAnsi="Times New Roman"/>
                <w:sz w:val="24"/>
              </w:rP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31.12.2023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3604,2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3604,2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90"/>
        </w:trPr>
        <w:tc>
          <w:tcPr>
            <w:tcW w:type="dxa" w:w="850"/>
            <w:tcMar>
              <w:left w:type="dxa" w:w="75"/>
              <w:right w:type="dxa" w:w="75"/>
            </w:tcMar>
          </w:tcPr>
          <w:p w14:paraId="71000000"/>
        </w:tc>
        <w:tc>
          <w:tcPr>
            <w:tcW w:type="dxa" w:w="2834"/>
            <w:tcMar>
              <w:left w:type="dxa" w:w="75"/>
              <w:right w:type="dxa" w:w="75"/>
            </w:tcMar>
          </w:tcPr>
          <w:p w14:paraId="72000000"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73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4000000"/>
        </w:tc>
        <w:tc>
          <w:tcPr>
            <w:tcW w:type="dxa" w:w="1700"/>
            <w:tcMar>
              <w:left w:type="dxa" w:w="75"/>
              <w:right w:type="dxa" w:w="75"/>
            </w:tcMar>
          </w:tcPr>
          <w:p w14:paraId="75000000"/>
        </w:tc>
        <w:tc>
          <w:tcPr>
            <w:tcW w:type="dxa" w:w="1210"/>
            <w:tcMar>
              <w:left w:type="dxa" w:w="75"/>
              <w:right w:type="dxa" w:w="75"/>
            </w:tcMar>
          </w:tcPr>
          <w:p w14:paraId="76000000"/>
        </w:tc>
        <w:tc>
          <w:tcPr>
            <w:tcW w:type="dxa" w:w="900"/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1135"/>
            <w:tcMar>
              <w:left w:type="dxa" w:w="75"/>
              <w:right w:type="dxa" w:w="75"/>
            </w:tcMar>
          </w:tcPr>
          <w:p w14:paraId="78000000"/>
        </w:tc>
        <w:tc>
          <w:tcPr>
            <w:tcW w:type="dxa" w:w="330"/>
            <w:gridSpan w:val="2"/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</w:p>
        </w:tc>
        <w:tc>
          <w:tcPr>
            <w:tcW w:type="dxa" w:w="1100"/>
            <w:tcMar>
              <w:left w:type="dxa" w:w="75"/>
              <w:right w:type="dxa" w:w="75"/>
            </w:tcMar>
          </w:tcPr>
          <w:p w14:paraId="7A000000"/>
        </w:tc>
        <w:tc>
          <w:tcPr>
            <w:tcW w:type="dxa" w:w="170"/>
            <w:tcMar>
              <w:left w:type="dxa" w:w="75"/>
              <w:right w:type="dxa" w:w="75"/>
            </w:tcMar>
          </w:tcPr>
          <w:p w14:paraId="7B000000"/>
        </w:tc>
        <w:tc>
          <w:tcPr>
            <w:tcW w:type="dxa" w:w="1276"/>
            <w:tcMar>
              <w:left w:type="dxa" w:w="75"/>
              <w:right w:type="dxa" w:w="75"/>
            </w:tcMar>
          </w:tcPr>
          <w:p w14:paraId="7C000000"/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 xml:space="preserve">подпрограммы     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 xml:space="preserve">Главный специалист по ЖКХ </w:t>
            </w:r>
            <w: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оборудования для детской спортивной </w:t>
            </w:r>
            <w:r>
              <w:rPr>
                <w:sz w:val="28"/>
              </w:rPr>
              <w:t>площадки</w:t>
            </w:r>
          </w:p>
          <w:p w14:paraId="81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r>
              <w:t>Х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r>
              <w:t>Х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</w:pPr>
            <w:r>
              <w:t xml:space="preserve">Главный специалист по ЖКХ </w:t>
            </w:r>
            <w:r>
              <w:t>М.А.Гимбатов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r>
              <w:t>5454,0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r>
              <w:t>0,0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r>
              <w:t>0,0</w:t>
            </w:r>
          </w:p>
        </w:tc>
        <w:tc>
          <w:tcPr>
            <w:tcW w:type="dxa" w:w="158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r>
              <w:t>5454,0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r>
              <w:t>0,0</w:t>
            </w:r>
          </w:p>
        </w:tc>
      </w:tr>
    </w:tbl>
    <w:p w14:paraId="92000000">
      <w:pPr>
        <w:widowControl w:val="0"/>
        <w:ind w:firstLine="540" w:left="0"/>
        <w:jc w:val="both"/>
        <w:rPr>
          <w:color w:val="FF0000"/>
          <w:sz w:val="22"/>
        </w:rPr>
      </w:pPr>
      <w:bookmarkStart w:id="3" w:name="_GoBack"/>
      <w:bookmarkEnd w:id="3"/>
    </w:p>
    <w:p w14:paraId="93000000">
      <w:pPr>
        <w:ind/>
        <w:jc w:val="center"/>
        <w:rPr>
          <w:rFonts w:ascii="Times New Roman CYR" w:hAnsi="Times New Roman CYR"/>
          <w:sz w:val="28"/>
        </w:rPr>
      </w:pPr>
    </w:p>
    <w:p w14:paraId="94000000">
      <w:pPr>
        <w:ind/>
        <w:jc w:val="center"/>
        <w:rPr>
          <w:rFonts w:ascii="Times New Roman CYR" w:hAnsi="Times New Roman CYR"/>
          <w:sz w:val="28"/>
        </w:rPr>
      </w:pPr>
    </w:p>
    <w:p w14:paraId="95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</w:t>
      </w:r>
      <w:r>
        <w:rPr>
          <w:rFonts w:ascii="Times New Roman CYR" w:hAnsi="Times New Roman CYR"/>
          <w:sz w:val="28"/>
        </w:rPr>
        <w:t>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4" w:type="paragraph">
    <w:name w:val="ConsPlusTitle"/>
    <w:link w:val="Style_4_ch"/>
    <w:pPr>
      <w:widowControl w:val="0"/>
      <w:ind/>
      <w:jc w:val="center"/>
    </w:pPr>
    <w:rPr>
      <w:b w:val="1"/>
      <w:sz w:val="24"/>
    </w:rPr>
  </w:style>
  <w:style w:styleId="Style_4_ch" w:type="character">
    <w:name w:val="ConsPlusTitle"/>
    <w:link w:val="Style_4"/>
    <w:rPr>
      <w:b w:val="1"/>
      <w:sz w:val="24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  <w:rPr>
      <w:sz w:val="24"/>
    </w:rPr>
  </w:style>
  <w:style w:styleId="Style_12_ch" w:type="character">
    <w:name w:val="Обычный1"/>
    <w:link w:val="Style_12"/>
    <w:rPr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Обычный + по ширине"/>
    <w:basedOn w:val="Style_5"/>
    <w:link w:val="Style_14_ch"/>
    <w:pPr>
      <w:ind w:firstLine="540" w:left="0"/>
      <w:jc w:val="both"/>
    </w:pPr>
  </w:style>
  <w:style w:styleId="Style_14_ch" w:type="character">
    <w:name w:val="Обычный + по ширине"/>
    <w:basedOn w:val="Style_5_ch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head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5_ch"/>
    <w:link w:val="Style_17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Обычный + 14 пт"/>
    <w:basedOn w:val="Style_5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5_ch"/>
    <w:link w:val="Style_1"/>
    <w:rPr>
      <w:spacing w:val="-4"/>
      <w:sz w:val="28"/>
    </w:rPr>
  </w:style>
  <w:style w:styleId="Style_19" w:type="paragraph">
    <w:name w:val="heading 1"/>
    <w:basedOn w:val="Style_5"/>
    <w:next w:val="Style_5"/>
    <w:link w:val="Style_19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9_ch" w:type="character">
    <w:name w:val="heading 1"/>
    <w:basedOn w:val="Style_5_ch"/>
    <w:link w:val="Style_19"/>
    <w:rPr>
      <w:rFonts w:ascii="Cambria" w:hAnsi="Cambria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5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toc 5"/>
    <w:next w:val="Style_5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footer"/>
    <w:basedOn w:val="Style_5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5_ch"/>
    <w:link w:val="Style_28"/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2023-02-28T07:52:03Z</dcterms:modified>
</cp:coreProperties>
</file>